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7756" w:rsidRPr="00721FD2" w:rsidRDefault="008B7756" w:rsidP="008B7756">
      <w:r>
        <w:rPr>
          <w:noProof/>
        </w:rPr>
        <mc:AlternateContent>
          <mc:Choice Requires="wps">
            <w:drawing>
              <wp:anchor distT="0" distB="0" distL="114300" distR="114300" simplePos="0" relativeHeight="251659264" behindDoc="0" locked="0" layoutInCell="1" allowOverlap="1">
                <wp:simplePos x="0" y="0"/>
                <wp:positionH relativeFrom="column">
                  <wp:posOffset>1009015</wp:posOffset>
                </wp:positionH>
                <wp:positionV relativeFrom="paragraph">
                  <wp:posOffset>111124</wp:posOffset>
                </wp:positionV>
                <wp:extent cx="4449445" cy="790575"/>
                <wp:effectExtent l="0" t="0" r="27305" b="28575"/>
                <wp:wrapNone/>
                <wp:docPr id="76" name="Текстово поле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49445" cy="790575"/>
                        </a:xfrm>
                        <a:prstGeom prst="rect">
                          <a:avLst/>
                        </a:prstGeom>
                        <a:solidFill>
                          <a:srgbClr val="FFFFFF"/>
                        </a:solidFill>
                        <a:ln w="9528">
                          <a:solidFill>
                            <a:srgbClr val="000000"/>
                          </a:solidFill>
                          <a:miter lim="800000"/>
                          <a:headEnd/>
                          <a:tailEnd/>
                        </a:ln>
                      </wps:spPr>
                      <wps:txbx>
                        <w:txbxContent>
                          <w:p w:rsidR="008B7756" w:rsidRPr="00C32E85" w:rsidRDefault="008B7756" w:rsidP="008B7756">
                            <w:pPr>
                              <w:jc w:val="center"/>
                              <w:rPr>
                                <w:rFonts w:ascii="Georgia" w:hAnsi="Georgia"/>
                                <w:b/>
                                <w:color w:val="0070C0"/>
                                <w:sz w:val="28"/>
                                <w:szCs w:val="28"/>
                              </w:rPr>
                            </w:pPr>
                            <w:r>
                              <w:rPr>
                                <w:rFonts w:ascii="Georgia" w:hAnsi="Georgia"/>
                                <w:b/>
                                <w:color w:val="0070C0"/>
                                <w:sz w:val="28"/>
                                <w:szCs w:val="28"/>
                              </w:rPr>
                              <w:t>С</w:t>
                            </w:r>
                            <w:r w:rsidRPr="00EF5F8A">
                              <w:rPr>
                                <w:rFonts w:ascii="Georgia" w:hAnsi="Georgia"/>
                                <w:b/>
                                <w:color w:val="0070C0"/>
                              </w:rPr>
                              <w:t>ДРУЖЕНИЕ ”МЕСТНА  ИНИЦИАТИВНА  ГРУПА</w:t>
                            </w:r>
                          </w:p>
                          <w:p w:rsidR="008B7756" w:rsidRPr="007E3542" w:rsidRDefault="008B7756" w:rsidP="008B7756">
                            <w:pPr>
                              <w:jc w:val="center"/>
                              <w:rPr>
                                <w:rFonts w:ascii="Georgia" w:hAnsi="Georgia"/>
                                <w:b/>
                                <w:color w:val="0070C0"/>
                                <w:sz w:val="52"/>
                                <w:szCs w:val="52"/>
                              </w:rPr>
                            </w:pPr>
                            <w:r w:rsidRPr="00C32E85">
                              <w:rPr>
                                <w:rFonts w:ascii="Georgia" w:hAnsi="Georgia"/>
                                <w:b/>
                                <w:color w:val="0070C0"/>
                                <w:sz w:val="28"/>
                                <w:szCs w:val="28"/>
                              </w:rPr>
                              <w:t>ЛЯСКОВЕЦ – СТРАЖИЦА”</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Текстово поле 76" o:spid="_x0000_s1026" type="#_x0000_t202" style="position:absolute;margin-left:79.45pt;margin-top:8.75pt;width:350.35pt;height:6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" strokeweight=".26467mm">
                <v:textbox>
                  <w:txbxContent>
                    <w:p w:rsidR="008B7756" w:rsidRPr="00C32E85" w:rsidRDefault="008B7756" w:rsidP="008B7756">
                      <w:pPr>
                        <w:jc w:val="center"/>
                        <w:rPr>
                          <w:rFonts w:ascii="Georgia" w:hAnsi="Georgia"/>
                          <w:b/>
                          <w:color w:val="0070C0"/>
                          <w:sz w:val="28"/>
                          <w:szCs w:val="28"/>
                        </w:rPr>
                      </w:pPr>
                      <w:r>
                        <w:rPr>
                          <w:rFonts w:ascii="Georgia" w:hAnsi="Georgia"/>
                          <w:b/>
                          <w:color w:val="0070C0"/>
                          <w:sz w:val="28"/>
                          <w:szCs w:val="28"/>
                        </w:rPr>
                        <w:t>С</w:t>
                      </w:r>
                      <w:r w:rsidRPr="00EF5F8A">
                        <w:rPr>
                          <w:rFonts w:ascii="Georgia" w:hAnsi="Georgia"/>
                          <w:b/>
                          <w:color w:val="0070C0"/>
                        </w:rPr>
                        <w:t>ДРУЖЕНИЕ ”МЕСТНА  ИНИЦИАТИВНА  ГРУПА</w:t>
                      </w:r>
                    </w:p>
                    <w:p w:rsidR="008B7756" w:rsidRPr="007E3542" w:rsidRDefault="008B7756" w:rsidP="008B7756">
                      <w:pPr>
                        <w:jc w:val="center"/>
                        <w:rPr>
                          <w:rFonts w:ascii="Georgia" w:hAnsi="Georgia"/>
                          <w:b/>
                          <w:color w:val="0070C0"/>
                          <w:sz w:val="52"/>
                          <w:szCs w:val="52"/>
                        </w:rPr>
                      </w:pPr>
                      <w:r w:rsidRPr="00C32E85">
                        <w:rPr>
                          <w:rFonts w:ascii="Georgia" w:hAnsi="Georgia"/>
                          <w:b/>
                          <w:color w:val="0070C0"/>
                          <w:sz w:val="28"/>
                          <w:szCs w:val="28"/>
                        </w:rPr>
                        <w:t>ЛЯСКОВЕЦ – СТРАЖИЦА”</w:t>
                      </w:r>
                    </w:p>
                  </w:txbxContent>
                </v:textbox>
              </v:shape>
            </w:pict>
          </mc:Fallback>
        </mc:AlternateContent>
      </w:r>
      <w:r>
        <w:rPr>
          <w:b/>
          <w:noProof/>
          <w:sz w:val="28"/>
          <w:szCs w:val="28"/>
        </w:rPr>
        <w:t xml:space="preserve">    </w:t>
      </w:r>
      <w:r w:rsidRPr="00DF647E">
        <w:rPr>
          <w:b/>
          <w:noProof/>
          <w:sz w:val="28"/>
          <w:szCs w:val="28"/>
        </w:rPr>
        <w:drawing>
          <wp:inline distT="0" distB="0" distL="0" distR="0">
            <wp:extent cx="590550" cy="847725"/>
            <wp:effectExtent l="0" t="0" r="0" b="9525"/>
            <wp:docPr id="75" name="Картина 75" descr="Описание: Graphic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5" descr="Описание: Graphic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0550" cy="847725"/>
                    </a:xfrm>
                    <a:prstGeom prst="rect">
                      <a:avLst/>
                    </a:prstGeom>
                    <a:noFill/>
                    <a:ln>
                      <a:noFill/>
                    </a:ln>
                  </pic:spPr>
                </pic:pic>
              </a:graphicData>
            </a:graphic>
          </wp:inline>
        </w:drawing>
      </w:r>
      <w:r w:rsidRPr="00721FD2">
        <w:t xml:space="preserve">        </w:t>
      </w:r>
      <w:r>
        <w:t xml:space="preserve">          </w:t>
      </w:r>
      <w:r w:rsidRPr="00721FD2">
        <w:t xml:space="preserve">                                                                                                                     </w:t>
      </w:r>
      <w:r w:rsidRPr="00721FD2">
        <w:rPr>
          <w:iCs/>
          <w:sz w:val="28"/>
          <w:szCs w:val="28"/>
        </w:rPr>
        <w:t xml:space="preserve">          </w:t>
      </w:r>
    </w:p>
    <w:p w:rsidR="008B7756" w:rsidRDefault="008B7756" w:rsidP="008B7756">
      <w:pPr>
        <w:pStyle w:val="a3"/>
        <w:spacing w:after="0" w:line="300" w:lineRule="atLeast"/>
        <w:jc w:val="center"/>
        <w:rPr>
          <w:rFonts w:eastAsia="Calibri"/>
          <w:b/>
          <w:szCs w:val="24"/>
        </w:rPr>
      </w:pPr>
    </w:p>
    <w:p w:rsidR="008B7756" w:rsidRDefault="008B7756" w:rsidP="008B7756">
      <w:pPr>
        <w:pStyle w:val="a3"/>
        <w:spacing w:after="0" w:line="300" w:lineRule="atLeast"/>
        <w:jc w:val="center"/>
        <w:rPr>
          <w:rFonts w:eastAsia="Calibri"/>
          <w:b/>
          <w:szCs w:val="24"/>
        </w:rPr>
      </w:pPr>
      <w:r>
        <w:rPr>
          <w:rFonts w:eastAsia="Calibri"/>
          <w:b/>
          <w:szCs w:val="24"/>
        </w:rPr>
        <w:t>Приложение № 10</w:t>
      </w:r>
    </w:p>
    <w:p w:rsidR="005248B5" w:rsidRDefault="008E2D1A" w:rsidP="008E2D1A">
      <w:pPr>
        <w:pStyle w:val="a3"/>
        <w:spacing w:after="0" w:line="300" w:lineRule="atLeast"/>
        <w:jc w:val="center"/>
        <w:rPr>
          <w:rFonts w:eastAsia="Calibri"/>
          <w:b/>
          <w:szCs w:val="24"/>
        </w:rPr>
      </w:pPr>
      <w:r>
        <w:rPr>
          <w:rFonts w:eastAsia="Calibri"/>
          <w:b/>
          <w:szCs w:val="24"/>
        </w:rPr>
        <w:tab/>
      </w:r>
      <w:r>
        <w:rPr>
          <w:rFonts w:eastAsia="Calibri"/>
          <w:b/>
          <w:szCs w:val="24"/>
        </w:rPr>
        <w:tab/>
      </w:r>
      <w:r>
        <w:rPr>
          <w:rFonts w:eastAsia="Calibri"/>
          <w:b/>
          <w:szCs w:val="24"/>
        </w:rPr>
        <w:tab/>
      </w:r>
      <w:r>
        <w:rPr>
          <w:rFonts w:eastAsia="Calibri"/>
          <w:b/>
          <w:szCs w:val="24"/>
        </w:rPr>
        <w:tab/>
      </w:r>
      <w:r>
        <w:rPr>
          <w:rFonts w:eastAsia="Calibri"/>
          <w:b/>
          <w:szCs w:val="24"/>
        </w:rPr>
        <w:tab/>
      </w:r>
      <w:r>
        <w:rPr>
          <w:rFonts w:eastAsia="Calibri"/>
          <w:b/>
          <w:szCs w:val="24"/>
        </w:rPr>
        <w:tab/>
      </w:r>
      <w:r>
        <w:rPr>
          <w:rFonts w:eastAsia="Calibri"/>
          <w:b/>
          <w:szCs w:val="24"/>
        </w:rPr>
        <w:tab/>
      </w:r>
      <w:r>
        <w:rPr>
          <w:rFonts w:eastAsia="Calibri"/>
          <w:b/>
          <w:szCs w:val="24"/>
        </w:rPr>
        <w:tab/>
      </w:r>
    </w:p>
    <w:tbl>
      <w:tblPr>
        <w:tblW w:w="0" w:type="auto"/>
        <w:tblBorders>
          <w:top w:val="single" w:sz="6" w:space="0" w:color="0070C0"/>
          <w:left w:val="single" w:sz="6" w:space="0" w:color="0070C0"/>
          <w:bottom w:val="single" w:sz="6" w:space="0" w:color="0070C0"/>
          <w:right w:val="single" w:sz="6" w:space="0" w:color="0070C0"/>
          <w:insideH w:val="single" w:sz="6" w:space="0" w:color="0070C0"/>
          <w:insideV w:val="single" w:sz="6" w:space="0" w:color="0070C0"/>
        </w:tblBorders>
        <w:tblLook w:val="04A0" w:firstRow="1" w:lastRow="0" w:firstColumn="1" w:lastColumn="0" w:noHBand="0" w:noVBand="1"/>
      </w:tblPr>
      <w:tblGrid>
        <w:gridCol w:w="9496"/>
      </w:tblGrid>
      <w:tr w:rsidR="008B7756" w:rsidRPr="008F724D" w:rsidTr="008175F7">
        <w:trPr>
          <w:trHeight w:val="470"/>
        </w:trPr>
        <w:tc>
          <w:tcPr>
            <w:tcW w:w="9496" w:type="dxa"/>
            <w:shd w:val="clear" w:color="auto" w:fill="CCECFF"/>
          </w:tcPr>
          <w:p w:rsidR="008B7756" w:rsidRPr="006A4243" w:rsidRDefault="008B7756" w:rsidP="008B7756">
            <w:pPr>
              <w:widowControl w:val="0"/>
              <w:autoSpaceDE w:val="0"/>
              <w:autoSpaceDN w:val="0"/>
              <w:adjustRightInd w:val="0"/>
              <w:spacing w:line="240" w:lineRule="auto"/>
              <w:jc w:val="center"/>
              <w:rPr>
                <w:b/>
                <w:sz w:val="28"/>
                <w:szCs w:val="28"/>
              </w:rPr>
            </w:pPr>
            <w:r w:rsidRPr="006429ED">
              <w:rPr>
                <w:b/>
                <w:sz w:val="28"/>
                <w:szCs w:val="28"/>
              </w:rPr>
              <w:t xml:space="preserve">Процедура чрез подбор на проектни предложения </w:t>
            </w:r>
            <w:r w:rsidRPr="00413AFD">
              <w:rPr>
                <w:b/>
                <w:sz w:val="28"/>
                <w:szCs w:val="28"/>
              </w:rPr>
              <w:t>с няколко крайни срока за кандидатстване:</w:t>
            </w:r>
          </w:p>
          <w:p w:rsidR="008B7756" w:rsidRDefault="008B7756" w:rsidP="008175F7">
            <w:pPr>
              <w:spacing w:line="360" w:lineRule="auto"/>
              <w:ind w:right="-2"/>
              <w:jc w:val="center"/>
              <w:rPr>
                <w:b/>
                <w:sz w:val="28"/>
                <w:szCs w:val="28"/>
              </w:rPr>
            </w:pPr>
            <w:bookmarkStart w:id="0" w:name="OLE_LINK4"/>
            <w:r>
              <w:rPr>
                <w:b/>
                <w:sz w:val="28"/>
                <w:szCs w:val="28"/>
              </w:rPr>
              <w:t>СНЦ</w:t>
            </w:r>
            <w:r w:rsidRPr="006A4243">
              <w:rPr>
                <w:b/>
                <w:sz w:val="28"/>
                <w:szCs w:val="28"/>
              </w:rPr>
              <w:t xml:space="preserve"> „</w:t>
            </w:r>
            <w:r>
              <w:rPr>
                <w:b/>
                <w:sz w:val="28"/>
                <w:szCs w:val="28"/>
              </w:rPr>
              <w:t>МИГ –Лясковец-Стражица“</w:t>
            </w:r>
          </w:p>
          <w:p w:rsidR="008B7756" w:rsidRDefault="008B7756" w:rsidP="008175F7">
            <w:pPr>
              <w:spacing w:line="360" w:lineRule="auto"/>
              <w:ind w:right="-2"/>
              <w:jc w:val="center"/>
              <w:rPr>
                <w:b/>
                <w:sz w:val="28"/>
                <w:szCs w:val="28"/>
              </w:rPr>
            </w:pPr>
            <w:r>
              <w:rPr>
                <w:b/>
                <w:sz w:val="28"/>
                <w:szCs w:val="28"/>
              </w:rPr>
              <w:t>СТРАТЕГИЯ ЗА ВОМР</w:t>
            </w:r>
          </w:p>
          <w:p w:rsidR="008B7756" w:rsidRPr="00C15879" w:rsidRDefault="008B7756" w:rsidP="008175F7">
            <w:pPr>
              <w:spacing w:line="360" w:lineRule="auto"/>
              <w:ind w:right="-2"/>
              <w:jc w:val="center"/>
              <w:rPr>
                <w:b/>
                <w:sz w:val="28"/>
                <w:szCs w:val="28"/>
              </w:rPr>
            </w:pPr>
            <w:r>
              <w:rPr>
                <w:b/>
                <w:sz w:val="28"/>
                <w:szCs w:val="28"/>
              </w:rPr>
              <w:t xml:space="preserve"> </w:t>
            </w:r>
            <w:r w:rsidRPr="00800FF0">
              <w:rPr>
                <w:b/>
                <w:sz w:val="28"/>
                <w:szCs w:val="28"/>
              </w:rPr>
              <w:t>Мярка</w:t>
            </w:r>
            <w:r w:rsidRPr="00313247">
              <w:rPr>
                <w:b/>
                <w:sz w:val="28"/>
                <w:szCs w:val="28"/>
              </w:rPr>
              <w:t xml:space="preserve">  </w:t>
            </w:r>
            <w:r w:rsidRPr="00E81775">
              <w:rPr>
                <w:b/>
                <w:sz w:val="28"/>
                <w:szCs w:val="28"/>
              </w:rPr>
              <w:t>МИГ4.1  „Инве</w:t>
            </w:r>
            <w:r>
              <w:rPr>
                <w:b/>
                <w:sz w:val="28"/>
                <w:szCs w:val="28"/>
              </w:rPr>
              <w:t>стиции в земеделски стопанства</w:t>
            </w:r>
            <w:r w:rsidRPr="00313247">
              <w:rPr>
                <w:b/>
                <w:sz w:val="28"/>
                <w:szCs w:val="28"/>
              </w:rPr>
              <w:t>”</w:t>
            </w:r>
          </w:p>
          <w:p w:rsidR="008B7756" w:rsidRPr="00C15879" w:rsidRDefault="008B7756" w:rsidP="008175F7">
            <w:pPr>
              <w:spacing w:line="360" w:lineRule="auto"/>
              <w:ind w:right="-2"/>
              <w:jc w:val="center"/>
              <w:rPr>
                <w:b/>
                <w:sz w:val="24"/>
                <w:szCs w:val="24"/>
              </w:rPr>
            </w:pPr>
            <w:r w:rsidRPr="00800FF0">
              <w:rPr>
                <w:b/>
                <w:sz w:val="24"/>
                <w:szCs w:val="24"/>
              </w:rPr>
              <w:t>M04 - Инвестиции в материални активи (член 17</w:t>
            </w:r>
            <w:r>
              <w:rPr>
                <w:b/>
                <w:sz w:val="24"/>
                <w:szCs w:val="24"/>
              </w:rPr>
              <w:t>)</w:t>
            </w:r>
          </w:p>
          <w:bookmarkEnd w:id="0"/>
          <w:p w:rsidR="008B7756" w:rsidRDefault="008B7756" w:rsidP="008175F7">
            <w:pPr>
              <w:widowControl w:val="0"/>
              <w:autoSpaceDE w:val="0"/>
              <w:autoSpaceDN w:val="0"/>
              <w:adjustRightInd w:val="0"/>
              <w:spacing w:line="240" w:lineRule="auto"/>
              <w:jc w:val="center"/>
              <w:rPr>
                <w:b/>
                <w:sz w:val="28"/>
                <w:szCs w:val="28"/>
              </w:rPr>
            </w:pPr>
            <w:r>
              <w:rPr>
                <w:b/>
                <w:sz w:val="28"/>
                <w:szCs w:val="28"/>
              </w:rPr>
              <w:t>Процедура №BG……………..</w:t>
            </w:r>
          </w:p>
          <w:p w:rsidR="008B7756" w:rsidRPr="008F724D" w:rsidRDefault="008B7756" w:rsidP="008175F7">
            <w:pPr>
              <w:spacing w:line="360" w:lineRule="auto"/>
              <w:ind w:right="-2"/>
              <w:jc w:val="center"/>
            </w:pPr>
          </w:p>
        </w:tc>
      </w:tr>
    </w:tbl>
    <w:p w:rsidR="005248B5" w:rsidRDefault="005248B5" w:rsidP="008E2D1A">
      <w:pPr>
        <w:pStyle w:val="a3"/>
        <w:spacing w:after="0" w:line="300" w:lineRule="atLeast"/>
        <w:jc w:val="center"/>
        <w:rPr>
          <w:rFonts w:eastAsia="Calibri"/>
          <w:b/>
          <w:szCs w:val="24"/>
        </w:rPr>
      </w:pPr>
    </w:p>
    <w:p w:rsidR="008E2D1A" w:rsidRDefault="008E2D1A" w:rsidP="008B7756">
      <w:pPr>
        <w:pStyle w:val="a3"/>
        <w:spacing w:after="0" w:line="300" w:lineRule="atLeast"/>
        <w:rPr>
          <w:rFonts w:eastAsia="Calibri"/>
          <w:b/>
          <w:szCs w:val="24"/>
        </w:rPr>
      </w:pPr>
    </w:p>
    <w:p w:rsidR="009C1C8E" w:rsidRPr="009C1C8E" w:rsidRDefault="009C1C8E" w:rsidP="008E2D1A">
      <w:pPr>
        <w:pStyle w:val="a3"/>
        <w:spacing w:after="0" w:line="300" w:lineRule="atLeast"/>
        <w:jc w:val="center"/>
        <w:rPr>
          <w:rFonts w:eastAsia="Calibri"/>
          <w:b/>
          <w:szCs w:val="24"/>
        </w:rPr>
      </w:pPr>
      <w:r w:rsidRPr="009C1C8E">
        <w:rPr>
          <w:rFonts w:eastAsia="Calibri"/>
          <w:b/>
          <w:szCs w:val="24"/>
        </w:rPr>
        <w:t>УСЛОВИЯ ЗА ИЗПЪЛНЕНИЕ НА ОДОБРЕНИТЕ ПРОЕКТИ</w:t>
      </w:r>
    </w:p>
    <w:p w:rsidR="009C1C8E" w:rsidRPr="009C1C8E" w:rsidRDefault="009C1C8E" w:rsidP="009C1C8E">
      <w:pPr>
        <w:pStyle w:val="a3"/>
        <w:spacing w:after="0" w:line="300" w:lineRule="atLeast"/>
        <w:jc w:val="both"/>
        <w:rPr>
          <w:rFonts w:eastAsia="Calibri"/>
          <w:b/>
          <w:szCs w:val="24"/>
        </w:rPr>
      </w:pPr>
    </w:p>
    <w:p w:rsidR="009C1C8E" w:rsidRPr="009C1C8E" w:rsidRDefault="009C1C8E" w:rsidP="009C1C8E">
      <w:pPr>
        <w:pStyle w:val="a3"/>
        <w:spacing w:after="0" w:line="300" w:lineRule="atLeast"/>
        <w:jc w:val="both"/>
        <w:rPr>
          <w:rFonts w:eastAsia="Calibri"/>
          <w:b/>
          <w:szCs w:val="24"/>
        </w:rPr>
      </w:pPr>
    </w:p>
    <w:p w:rsidR="009C1C8E" w:rsidRPr="009C1C8E" w:rsidRDefault="009C1C8E" w:rsidP="008B7756">
      <w:pPr>
        <w:pBdr>
          <w:top w:val="single" w:sz="4" w:space="1" w:color="auto"/>
          <w:left w:val="single" w:sz="4" w:space="1" w:color="auto"/>
          <w:bottom w:val="single" w:sz="4" w:space="1" w:color="auto"/>
          <w:right w:val="single" w:sz="4" w:space="0" w:color="auto"/>
        </w:pBdr>
        <w:shd w:val="clear" w:color="auto" w:fill="FEFEFE"/>
        <w:ind w:firstLine="720"/>
        <w:jc w:val="both"/>
        <w:rPr>
          <w:rFonts w:ascii="Times New Roman" w:hAnsi="Times New Roman" w:cs="Times New Roman"/>
          <w:color w:val="000000"/>
          <w:sz w:val="24"/>
          <w:szCs w:val="24"/>
        </w:rPr>
      </w:pPr>
    </w:p>
    <w:p w:rsidR="009C1C8E" w:rsidRPr="009C1C8E" w:rsidRDefault="009C1C8E" w:rsidP="008B7756">
      <w:pPr>
        <w:pBdr>
          <w:top w:val="single" w:sz="4" w:space="1" w:color="auto"/>
          <w:left w:val="single" w:sz="4" w:space="1" w:color="auto"/>
          <w:bottom w:val="single" w:sz="4" w:space="1" w:color="auto"/>
          <w:right w:val="single" w:sz="4" w:space="0" w:color="auto"/>
        </w:pBdr>
        <w:shd w:val="clear" w:color="auto" w:fill="FEFEFE"/>
        <w:ind w:firstLine="720"/>
        <w:rPr>
          <w:rFonts w:ascii="Times New Roman" w:hAnsi="Times New Roman" w:cs="Times New Roman"/>
          <w:b/>
          <w:color w:val="000000"/>
          <w:sz w:val="24"/>
          <w:szCs w:val="24"/>
        </w:rPr>
      </w:pPr>
      <w:r w:rsidRPr="009C1C8E">
        <w:rPr>
          <w:rFonts w:ascii="Times New Roman" w:hAnsi="Times New Roman" w:cs="Times New Roman"/>
          <w:b/>
          <w:color w:val="000000"/>
          <w:sz w:val="24"/>
          <w:szCs w:val="24"/>
        </w:rPr>
        <w:t>А. Техническо изпълнение на проектите:</w:t>
      </w:r>
    </w:p>
    <w:p w:rsidR="009C1C8E" w:rsidRPr="009C1C8E" w:rsidRDefault="009C1C8E" w:rsidP="008B7756">
      <w:pPr>
        <w:pBdr>
          <w:top w:val="single" w:sz="4" w:space="1" w:color="auto"/>
          <w:left w:val="single" w:sz="4" w:space="1" w:color="auto"/>
          <w:bottom w:val="single" w:sz="4" w:space="1" w:color="auto"/>
          <w:right w:val="single" w:sz="4" w:space="0" w:color="auto"/>
        </w:pBdr>
        <w:shd w:val="clear" w:color="auto" w:fill="FEFEFE"/>
        <w:ind w:firstLine="720"/>
        <w:rPr>
          <w:rFonts w:ascii="Times New Roman" w:hAnsi="Times New Roman" w:cs="Times New Roman"/>
          <w:b/>
          <w:color w:val="000000"/>
          <w:sz w:val="24"/>
          <w:szCs w:val="24"/>
        </w:rPr>
      </w:pPr>
    </w:p>
    <w:p w:rsidR="009C1C8E" w:rsidRPr="009C1C8E" w:rsidRDefault="009C1C8E" w:rsidP="008B7756">
      <w:pPr>
        <w:pBdr>
          <w:top w:val="single" w:sz="4" w:space="1" w:color="auto"/>
          <w:left w:val="single" w:sz="4" w:space="1" w:color="auto"/>
          <w:bottom w:val="single" w:sz="4" w:space="1" w:color="auto"/>
          <w:right w:val="single" w:sz="4" w:space="0" w:color="auto"/>
        </w:pBdr>
        <w:shd w:val="clear" w:color="auto" w:fill="FEFEFE"/>
        <w:ind w:firstLine="720"/>
        <w:rPr>
          <w:rFonts w:ascii="Times New Roman" w:hAnsi="Times New Roman" w:cs="Times New Roman"/>
          <w:b/>
          <w:color w:val="000000"/>
          <w:sz w:val="24"/>
          <w:szCs w:val="24"/>
        </w:rPr>
      </w:pPr>
      <w:r w:rsidRPr="009C1C8E">
        <w:rPr>
          <w:rFonts w:ascii="Times New Roman" w:hAnsi="Times New Roman" w:cs="Times New Roman"/>
          <w:b/>
          <w:color w:val="000000"/>
          <w:sz w:val="24"/>
          <w:szCs w:val="24"/>
        </w:rPr>
        <w:t xml:space="preserve">І. Срок за изпълнение на одобрения проект и </w:t>
      </w:r>
      <w:proofErr w:type="spellStart"/>
      <w:r w:rsidRPr="009C1C8E">
        <w:rPr>
          <w:rFonts w:ascii="Times New Roman" w:hAnsi="Times New Roman" w:cs="Times New Roman"/>
          <w:b/>
          <w:color w:val="000000"/>
          <w:sz w:val="24"/>
          <w:szCs w:val="24"/>
        </w:rPr>
        <w:t>мониторингов</w:t>
      </w:r>
      <w:proofErr w:type="spellEnd"/>
      <w:r w:rsidRPr="009C1C8E">
        <w:rPr>
          <w:rFonts w:ascii="Times New Roman" w:hAnsi="Times New Roman" w:cs="Times New Roman"/>
          <w:b/>
          <w:color w:val="000000"/>
          <w:sz w:val="24"/>
          <w:szCs w:val="24"/>
        </w:rPr>
        <w:t xml:space="preserve"> период</w:t>
      </w:r>
    </w:p>
    <w:p w:rsidR="009C1C8E" w:rsidRPr="009C1C8E" w:rsidRDefault="009C1C8E" w:rsidP="008B7756">
      <w:pPr>
        <w:pBdr>
          <w:top w:val="single" w:sz="4" w:space="1" w:color="auto"/>
          <w:left w:val="single" w:sz="4" w:space="1" w:color="auto"/>
          <w:bottom w:val="single" w:sz="4" w:space="1" w:color="auto"/>
          <w:right w:val="single" w:sz="4" w:space="0" w:color="auto"/>
        </w:pBdr>
        <w:shd w:val="clear" w:color="auto" w:fill="FEFEFE"/>
        <w:jc w:val="both"/>
        <w:rPr>
          <w:rFonts w:ascii="Times New Roman" w:hAnsi="Times New Roman" w:cs="Times New Roman"/>
          <w:color w:val="000000"/>
          <w:sz w:val="24"/>
          <w:szCs w:val="24"/>
        </w:rPr>
      </w:pP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Получателят на финансовата помощ изпълнява проекта в съответствие с нормативните и договорните правила при спазване на условията на ПРСР за периода 2014-2020 г.</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Крайният срок за изпълнение на дейностите по проектите към стратегия за ВОМР, финансирани от ЕЗФРСР, е до 30 юни 2023 г.</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Одобреният проект за финансиране от ЕЗФРСР се изпълнява в срок до тридесет и шест месеца.</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Срокът и изискванията към бенефициентите за стартиране изпълнението на одобрения проект се посочват в административния договор.</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 xml:space="preserve">Бенефициентите се задължават да спазват всички критерии за допустимост, ангажименти и други задължения, произтичащи от предоставеното подпомагане, до изтичане на </w:t>
      </w:r>
      <w:proofErr w:type="spellStart"/>
      <w:r w:rsidRPr="009C1C8E">
        <w:rPr>
          <w:rFonts w:ascii="Times New Roman" w:hAnsi="Times New Roman" w:cs="Times New Roman"/>
          <w:color w:val="000000"/>
          <w:sz w:val="24"/>
          <w:szCs w:val="24"/>
        </w:rPr>
        <w:t>мониторинговия</w:t>
      </w:r>
      <w:proofErr w:type="spellEnd"/>
      <w:r w:rsidRPr="009C1C8E">
        <w:rPr>
          <w:rFonts w:ascii="Times New Roman" w:hAnsi="Times New Roman" w:cs="Times New Roman"/>
          <w:color w:val="000000"/>
          <w:sz w:val="24"/>
          <w:szCs w:val="24"/>
        </w:rPr>
        <w:t xml:space="preserve"> период, определен, както следва: </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 xml:space="preserve">1. В срок до три години, считано от окончателното плащане по административния договор – за бенефициентите, чиито предприятия имат статут на </w:t>
      </w:r>
      <w:proofErr w:type="spellStart"/>
      <w:r w:rsidRPr="009C1C8E">
        <w:rPr>
          <w:rFonts w:ascii="Times New Roman" w:hAnsi="Times New Roman" w:cs="Times New Roman"/>
          <w:color w:val="000000"/>
          <w:sz w:val="24"/>
          <w:szCs w:val="24"/>
        </w:rPr>
        <w:t>микро</w:t>
      </w:r>
      <w:proofErr w:type="spellEnd"/>
      <w:r w:rsidRPr="009C1C8E">
        <w:rPr>
          <w:rFonts w:ascii="Times New Roman" w:hAnsi="Times New Roman" w:cs="Times New Roman"/>
          <w:color w:val="000000"/>
          <w:sz w:val="24"/>
          <w:szCs w:val="24"/>
        </w:rPr>
        <w:t xml:space="preserve">-, малко или средно предприятие по смисъла на Закона за малките и средните предприятия (ЗМСП) или </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2. В срок до пет години, считано от окончателното плащане по административния договор – за всички бенефициенти, извън т. 1.</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 xml:space="preserve">За определяне на продължителността на ангажимента на кандидатите по отношение на създадените работни места, че той трябва да съответства на срока, за който бизнес плана се предоставя. </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rPr>
          <w:rFonts w:ascii="Times New Roman" w:hAnsi="Times New Roman" w:cs="Times New Roman"/>
          <w:b/>
          <w:color w:val="000000"/>
          <w:sz w:val="24"/>
          <w:szCs w:val="24"/>
        </w:rPr>
      </w:pPr>
      <w:r w:rsidRPr="009C1C8E">
        <w:rPr>
          <w:rFonts w:ascii="Times New Roman" w:hAnsi="Times New Roman" w:cs="Times New Roman"/>
          <w:b/>
          <w:color w:val="000000"/>
          <w:sz w:val="24"/>
          <w:szCs w:val="24"/>
        </w:rPr>
        <w:t xml:space="preserve">ІІ. Критерии за допустимост, ангажименти и други задължения на </w:t>
      </w:r>
      <w:proofErr w:type="spellStart"/>
      <w:r w:rsidRPr="009C1C8E">
        <w:rPr>
          <w:rFonts w:ascii="Times New Roman" w:hAnsi="Times New Roman" w:cs="Times New Roman"/>
          <w:b/>
          <w:color w:val="000000"/>
          <w:sz w:val="24"/>
          <w:szCs w:val="24"/>
        </w:rPr>
        <w:t>получателитена</w:t>
      </w:r>
      <w:proofErr w:type="spellEnd"/>
      <w:r w:rsidRPr="009C1C8E">
        <w:rPr>
          <w:rFonts w:ascii="Times New Roman" w:hAnsi="Times New Roman" w:cs="Times New Roman"/>
          <w:b/>
          <w:color w:val="000000"/>
          <w:sz w:val="24"/>
          <w:szCs w:val="24"/>
        </w:rPr>
        <w:t xml:space="preserve"> финансова помощ</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rPr>
          <w:rFonts w:ascii="Times New Roman" w:hAnsi="Times New Roman" w:cs="Times New Roman"/>
          <w:b/>
          <w:color w:val="000000"/>
          <w:sz w:val="24"/>
          <w:szCs w:val="24"/>
        </w:rPr>
      </w:pP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rPr>
          <w:rFonts w:ascii="Times New Roman" w:hAnsi="Times New Roman" w:cs="Times New Roman"/>
          <w:b/>
          <w:color w:val="000000"/>
          <w:sz w:val="24"/>
          <w:szCs w:val="24"/>
        </w:rPr>
      </w:pPr>
      <w:r w:rsidRPr="009C1C8E">
        <w:rPr>
          <w:rFonts w:ascii="Times New Roman" w:hAnsi="Times New Roman" w:cs="Times New Roman"/>
          <w:b/>
          <w:color w:val="000000"/>
          <w:sz w:val="24"/>
          <w:szCs w:val="24"/>
        </w:rPr>
        <w:t>1.Критерии за допустимост</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sz w:val="24"/>
          <w:szCs w:val="24"/>
        </w:rPr>
      </w:pPr>
      <w:r w:rsidRPr="009C1C8E">
        <w:rPr>
          <w:rFonts w:ascii="Times New Roman" w:hAnsi="Times New Roman" w:cs="Times New Roman"/>
          <w:sz w:val="24"/>
          <w:szCs w:val="24"/>
        </w:rPr>
        <w:t xml:space="preserve">За периода от датата на подаване на проектното предложение до изтичане на срока на мониторинг по отношение на получателя на финансова помощ или на съответното задължено лице не следва да е налице обстоятелство, посочено в т. 11.2 от Условията за кандидатстване.  </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sz w:val="24"/>
          <w:szCs w:val="24"/>
        </w:rPr>
      </w:pPr>
      <w:r w:rsidRPr="009C1C8E">
        <w:rPr>
          <w:rFonts w:ascii="Times New Roman" w:hAnsi="Times New Roman" w:cs="Times New Roman"/>
          <w:sz w:val="24"/>
          <w:szCs w:val="24"/>
        </w:rPr>
        <w:t xml:space="preserve">За периода от изпълнение на одобрения проект до изтичане на срока за мониторинг получателите на финансова помощ са длъжни да не променят местоположението на подпомаганата дейност извън територията на </w:t>
      </w:r>
      <w:r w:rsidR="008B7756">
        <w:rPr>
          <w:rFonts w:ascii="Times New Roman" w:hAnsi="Times New Roman" w:cs="Times New Roman"/>
          <w:sz w:val="24"/>
          <w:szCs w:val="24"/>
        </w:rPr>
        <w:t>МИГ.</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 xml:space="preserve">За периода от подаване на Формуляра за кандидатстване до изтичане на срока за мониторинг бенефициентите са длъжни да не получават публична финансова помощ от държавния бюджет или от бюджета на Европейския съюз за инвестиционните разходи, за които </w:t>
      </w:r>
      <w:proofErr w:type="spellStart"/>
      <w:r w:rsidRPr="009C1C8E">
        <w:rPr>
          <w:rFonts w:ascii="Times New Roman" w:hAnsi="Times New Roman" w:cs="Times New Roman"/>
          <w:color w:val="000000"/>
          <w:sz w:val="24"/>
          <w:szCs w:val="24"/>
        </w:rPr>
        <w:t>саполучили</w:t>
      </w:r>
      <w:proofErr w:type="spellEnd"/>
      <w:r w:rsidRPr="009C1C8E">
        <w:rPr>
          <w:rFonts w:ascii="Times New Roman" w:hAnsi="Times New Roman" w:cs="Times New Roman"/>
          <w:color w:val="000000"/>
          <w:sz w:val="24"/>
          <w:szCs w:val="24"/>
        </w:rPr>
        <w:t xml:space="preserve"> финансова помощ по административния договор.</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b/>
          <w:color w:val="000000"/>
          <w:sz w:val="24"/>
          <w:szCs w:val="24"/>
        </w:rPr>
      </w:pPr>
      <w:r w:rsidRPr="009C1C8E">
        <w:rPr>
          <w:rFonts w:ascii="Times New Roman" w:hAnsi="Times New Roman" w:cs="Times New Roman"/>
          <w:b/>
          <w:color w:val="000000"/>
          <w:sz w:val="24"/>
          <w:szCs w:val="24"/>
        </w:rPr>
        <w:t>2. Ангажименти и други задължения на получателите на финансова помощ</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b/>
          <w:color w:val="000000"/>
          <w:sz w:val="24"/>
          <w:szCs w:val="24"/>
        </w:rPr>
      </w:pP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1. Получателят на финансова помощ, който е възложител по Закона за обществените поръчки, провежда съответната процедура за избор на изпълнител/и на дейностите по проекта след сключване на договора за финансова помощ с изключение на процедурите за избор на изпълнител/и за разходи, извършени преди подаване на проектното предложение, за които кандидатът представя заверено копие от документацията от проведената процедура по Закона за обществените поръчки.</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 xml:space="preserve">2. Получателят представя на ДФЗ списък на планираните обществени поръчки в ИСУН 2020 по образец, утвърден от изпълнителния директор, в срок до 20 работни дни от датата на сключване на договора. Крайният срок за публикуване на решението за откриване на процедурите за възлагане </w:t>
      </w:r>
      <w:bookmarkStart w:id="1" w:name="_GoBack"/>
      <w:bookmarkEnd w:id="1"/>
      <w:r w:rsidRPr="009C1C8E">
        <w:rPr>
          <w:rFonts w:ascii="Times New Roman" w:hAnsi="Times New Roman" w:cs="Times New Roman"/>
          <w:color w:val="000000"/>
          <w:sz w:val="24"/>
          <w:szCs w:val="24"/>
        </w:rPr>
        <w:t xml:space="preserve">на обществена поръчка за избор на изпълнител за всички разходи в проекта с изключение на разходите, извършени преди подаване на проектното предложение, е до два месеца от датата на сключване на договора за предоставяне на финансова помощ. Получателят уведомява ДФЗ чрез ИСУН за публикуване на всяко решение за откриване на </w:t>
      </w:r>
      <w:r w:rsidRPr="009C1C8E">
        <w:rPr>
          <w:rFonts w:ascii="Times New Roman" w:hAnsi="Times New Roman" w:cs="Times New Roman"/>
          <w:color w:val="000000"/>
          <w:sz w:val="24"/>
          <w:szCs w:val="24"/>
        </w:rPr>
        <w:lastRenderedPageBreak/>
        <w:t>процедура за възлагане на обществена поръчка в срок до 7 работни дни от датата на публикуването.</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 xml:space="preserve">3. За проект, по който е сключен договор за предоставяне на финансова помощ въз основа на представен технически проект, срокът за публикуване на решението за откриване на процедура за възлагане на обществена поръчка за избор на изпълнител за всички разходи в проекта с изключение на </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разходите, извършени преди подаване на проектното предложение, е до 4 месеца от датата на сключване на договора. Получателят уведомява ДФЗ чрез ИСУН за публикуване на решението за откриване на процедура за възлагане на обществена поръчка в срок до 7 работни дни от датата на публикуването.</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4. Държавен фонд „Земеделие“, осъществява предварителна проверка и последващ контрол на процедурите за обществени поръчки съгласно утвърдени от изпълнителния директор на ДФЗ процедури. Указанията, дадени от ДФЗ при осъществяване на предварителната проверка на планираните обществени поръчки за избор на изпълнител на всички дейности по проекта, са задължителни за получателя на помощта. Държавен фонд „Земеделие“, осъществява предварителната проверка в срок до 20 работни дни от получаване на списъка на планираните обществени поръчки.</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5. Държавен фонд „Земеделие“, извършва последващ контрол  в срок до 4 месеца от получаване на документите за проведената процедура за избор на изпълнител. Когато в процеса на обработка на документи и/или информация ДФЗ установи необходимост от предоставяне на становище и/или информация от други органи или институции, нормативно или договорно установеният срок за произнасяне се счита удължен с периода от датата на изпращането на запитването до датата на получаването на становището и/или информацията.</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6. За възложители по Закона за обществените поръчки ДФЗ може да преценява обосноваността на разходите на представения работен/технически проект чрез съпоставяне с референтни разходи или с оценяваща комисия.</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 xml:space="preserve">7.  За получатели по чл. 49, ал. 2, т. 2 от Закона за управление на средствата от Европейските структурни и инвестиционни фондове ДФЗ може да преценява обосноваността на разходите по представения работен/технически проект чрез референтни разходи, </w:t>
      </w:r>
      <w:r w:rsidRPr="009C1C8E">
        <w:rPr>
          <w:rFonts w:ascii="Times New Roman" w:hAnsi="Times New Roman" w:cs="Times New Roman"/>
          <w:color w:val="000000"/>
          <w:sz w:val="24"/>
          <w:szCs w:val="24"/>
        </w:rPr>
        <w:lastRenderedPageBreak/>
        <w:t>сравняване на различните оферти или комисия за оценка при спазване на условията на ПМС № 189.</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 xml:space="preserve">8. Получателите на финансова помощ са длъжни да изпълнят изцяло одобрения проект в срока, посочен в административния договор и при спазване на крайните срокове за това, посочени в т. 1 от Раздел I на настоящите условия за изпълнение, съгласно таблицата за одобрените инвестиционни разходи, представляваща приложение към административния договор и количествено-стойностните сметки/количествените сметки/техническите спецификации, представляващи приложение към административния договор (когато е приложимо в зависимост от предмета на договора и от качеството на </w:t>
      </w:r>
      <w:r w:rsidRPr="009C1C8E">
        <w:rPr>
          <w:rFonts w:ascii="Times New Roman" w:hAnsi="Times New Roman" w:cs="Times New Roman"/>
          <w:sz w:val="24"/>
          <w:szCs w:val="24"/>
        </w:rPr>
        <w:t xml:space="preserve">получател на финансова помощ </w:t>
      </w:r>
      <w:r w:rsidRPr="009C1C8E">
        <w:rPr>
          <w:rFonts w:ascii="Times New Roman" w:hAnsi="Times New Roman" w:cs="Times New Roman"/>
          <w:color w:val="000000"/>
          <w:sz w:val="24"/>
          <w:szCs w:val="24"/>
        </w:rPr>
        <w:t>като възложител по ЗОП). Задължението включва и задължението за започване на инвестицията в сроковете и при условията, посочени в административния договор.</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9. Получателят на помощта е длъжен да предоставя на МИГ, УО на ПРСР 2014 - 2020 г., и на ДФЗ всяка поискана информация за осъществяването на дейността по проекта. Получателят на помощта е длъжен да предоставя достъп до документи и да съдейства за осъществяване на проверки, осъществявани от надлежно упълномощените представители на МИГ, УО на ПРСР 2014 - 2020 г., и на ДФЗ, Сметната палата, Европейската комисия и Европейската сметна палата, Европейската служба за борба с измамите, Изпълнителна агенция „Сертификационен одит на средствата от европейските земеделски фондове“, както и на всеки упълномощен външен одитор в срок до 5 години, считано от последното плащане по споразумението за предоставяне на финансова помощ. Ако УО на ПРСР 2014 - 2020 г. или Европейската комисия направи оценяване и/или наблюдение на ПРСР 2014 - 2020 г.  получателят на помощта поема задължението да осигури на тях и/или на упълномощените от тях лица всякакви документи и информация, които ще подпомогнат оценяването или наблюдението, както и гореописаните проверки. Длъжностните лица на УО на ПРСР 2014 - 2020 г. и на ДФЗ и представителите на Европейската комисия са длъжни да се легитимират пред получателя на помощта и да извършват проверки в съответствие с предоставените им правомощия.</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10. Ползвателите на помощ застраховат активите, предмет на подпомагане, за срока, рисковете и при условията, посочени в договора за предоставяне на финансова помощ.</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11. Получателите на финансова помощ са длъжни да:</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lastRenderedPageBreak/>
        <w:t xml:space="preserve">11.1. осигурят разликата между пълния размер на одобрените разходи и размера одобрената финансова помощ, посочен в административния </w:t>
      </w:r>
      <w:proofErr w:type="spellStart"/>
      <w:r w:rsidRPr="009C1C8E">
        <w:rPr>
          <w:rFonts w:ascii="Times New Roman" w:hAnsi="Times New Roman" w:cs="Times New Roman"/>
          <w:color w:val="000000"/>
          <w:sz w:val="24"/>
          <w:szCs w:val="24"/>
        </w:rPr>
        <w:t>договорсамо</w:t>
      </w:r>
      <w:proofErr w:type="spellEnd"/>
      <w:r w:rsidRPr="009C1C8E">
        <w:rPr>
          <w:rFonts w:ascii="Times New Roman" w:hAnsi="Times New Roman" w:cs="Times New Roman"/>
          <w:color w:val="000000"/>
          <w:sz w:val="24"/>
          <w:szCs w:val="24"/>
        </w:rPr>
        <w:t xml:space="preserve"> в парична форма; </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11.2. да спазват изискванията и сроковете при кандидатстване за получаване на авансово или междинно плащане,посочени в настоящите условия, в административния договор или в наредбата по чл. 9б, т. 3 от Закона за подпомагане на земеделските производители (ЗПЗП), включително като прилагат към искането за плащане документите, посочени в настоящите условия и/или в наредбата по чл. 9б, т. 3 от ЗПЗП;</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11.3. да осигурят в срока за изпълнение на одобрения проект необходимите лицензи, разрешителни или регистрации за извършване на дейността по проекта или за функционирането на всички активи, когато се изискват такива съгласно действащото законодателство;</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 xml:space="preserve">11.4. да подадат искане за окончателно плащане до изтичане на крайния срок за изпълнение на одобрения проект, ведно с документите, посочени в настоящите условия, при спазване на реда и условията, предвидени в наредбата по чл. 9б, т. 3 от ЗПЗП. </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11.5. да изпълнят и въведат в експлоатация в срок най-късно до подаване на искането за окончателно плащане инвестициите (ако има такива), които не са предмет на подпомагане по административния договор, но са необходими за изпълнението на одобрения проект и които са посочени в приложение към административния договор;</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 xml:space="preserve">11.6. да спазва разпоредбите на ЗОП и актовете по неговото прилагане, както и указанията на РА, когато възлага обществени поръчки за изпълнение на дейностите по одобрения проект, при спазване на всички изисквания и срокове, посочени в настоящите условия (важи когато получателите на финансова помощ са възложители по ЗОП). </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12.</w:t>
      </w:r>
      <w:r w:rsidRPr="009C1C8E">
        <w:rPr>
          <w:rFonts w:ascii="Times New Roman" w:hAnsi="Times New Roman" w:cs="Times New Roman"/>
          <w:sz w:val="24"/>
          <w:szCs w:val="24"/>
        </w:rPr>
        <w:t xml:space="preserve"> Получателите на финансова помощ </w:t>
      </w:r>
      <w:r w:rsidRPr="009C1C8E">
        <w:rPr>
          <w:rFonts w:ascii="Times New Roman" w:hAnsi="Times New Roman" w:cs="Times New Roman"/>
          <w:color w:val="000000"/>
          <w:sz w:val="24"/>
          <w:szCs w:val="24"/>
        </w:rPr>
        <w:t xml:space="preserve">се задължават от датата на сключването на административния договор до изтичане на </w:t>
      </w:r>
      <w:proofErr w:type="spellStart"/>
      <w:r w:rsidRPr="009C1C8E">
        <w:rPr>
          <w:rFonts w:ascii="Times New Roman" w:hAnsi="Times New Roman" w:cs="Times New Roman"/>
          <w:color w:val="000000"/>
          <w:sz w:val="24"/>
          <w:szCs w:val="24"/>
        </w:rPr>
        <w:t>мониторинговия</w:t>
      </w:r>
      <w:proofErr w:type="spellEnd"/>
      <w:r w:rsidRPr="009C1C8E">
        <w:rPr>
          <w:rFonts w:ascii="Times New Roman" w:hAnsi="Times New Roman" w:cs="Times New Roman"/>
          <w:color w:val="000000"/>
          <w:sz w:val="24"/>
          <w:szCs w:val="24"/>
        </w:rPr>
        <w:t xml:space="preserve"> период да:</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12.1. съхранява всички документи, свързани с подпомаганите дейности;</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12.2. използва закупените/подобрените/реконструирани/изградени въз основа на одобрения проект активи по предназначение;</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lastRenderedPageBreak/>
        <w:t>12.3. не прехвърля собствеността върху активите - предмет на подпомагане, под каквато и да е форма с изключение на случаите, когато това се изисква по закон;</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12.4. не преотстъпва ползването на активите - предмет на подпомагането, под каквато и да е форма;</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12.5. не променя местоположението на подпомогнатата дейност;</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12.6. не преустановява подпомогнатата дейност.</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12.7. поддържат съответствие с всеки критерии за подбор, по който проектното предложение е било оценено, съгласно списък с критериите за подбор и получените точки по всеки от тях, представляващи приложение към административния договор. При неспазване на това задължение РА отказва изцяло или частично изплащане на финансовата помощ, респ.претендира възстановяване на изплатената финансова помощ, в размерите, посочени в административния договор;</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 xml:space="preserve">            12.8.  спазват и други свои задължения, посочени в административния договор или в приложим нормативен акт;</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Изискването по т. 12.2, 12.3 и 12.4 не се прилага при подмяната на оборудване с изтекъл амортизационен срок. Подмяната с новото оборудване, придобито със средства от ЕЗФРСР, се осъществява след одобрение от ДФЗ.</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Изискването на т. 12.4 не се прилага за инвестиция, за която в проектното предложение е обосновано, че обичайното й предназначение е свързано с преотстъпване на правото на ползване на трети лица или когато това се изисква по закон. Изключението не се прилага, когато предоставянето на актива - предмет на инвестицията, на трети лица е за извършване на услуга с този актив.</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Изискването на  т. 12.5 не се прилага, когато промяната на местонахождението на придобита техника и оборудване е в резултат на промяна на адреса на офиса на територията на МИГ. В този случай промяната на местонахождението на активите, придобити със средства от ЕЗФРСР, се извършва след одобрение на ДФЗ.</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Получателят е длъжен да изпълнява задълженията си по т. 12.1 до т. 12.6  за срок от:</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lastRenderedPageBreak/>
        <w:t>1. три години след извършване на окончателното плащане, когато е малко или средно предприятие по смисъла на чл. 3 от Закона за малките и средните предприятия;</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2. десет години от датата на сключване на договора, когато е предоставена държавна или минимална помощ;</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3. пет години след извършване на окончателното плащане за всички останали случаи.</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13. Получателят на финансовата помощ е длъжен да води всички финансови операции, свързани с подпомаганите дейности, в отделна аналитична счетоводна сметка. Получателят е длъжен да организира подробна счетоводна отчетност, която да е достатъчна за установяване и проследяване на възстановим и невъзстановим ДДС по всеки договор.</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14. Получателят на финансова помощ е длъжен незабавно да уведоми  ДФЗ  и МИГ за всяко обстоятелство, което би могло да възпрепятства или забави осъществяването на дейностите по проекта.</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 xml:space="preserve">15. Когато получателят на помощта не изпълнява свои нормативни или договорни задължения след изплащане на финансова помощ, ДФЗ може да поиска връщане на вече изплатени суми заедно със законната лихва върху тях и/или да прекрати всички договори, сключени с получателя. В случаите когато  получателят на помощта не изпълнява свои нормативни или договорни задължения след </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изплащане на финансова помощ  ДФЗ определя размера на средствата, които трябва да бъдат възстановени от получателя, като взема предвид вида, степента и продължителността на неизпълнението.</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16. Държавен фонд „Земеделие“ може да поиска връщане на вече платени суми заедно със законната лихва върху тях, когато получателят на финансовата помощ:</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16.1. е представил декларация с невярно съдържание и/или документ с невярно съдържание, неистински или преправен документ, и/или изкуствено е създал условия за изпълнение на изискванията за получаване на финансова помощ, за да извлече облага в противоречие с целите на тази наредба;</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16.2. е получил или е одобрен за получаване на допълнителна публична финансова помощ за дейности, финансирани по реда на тази наредба;</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lastRenderedPageBreak/>
        <w:t>16.3. не изпълнява задълженията си да застрахова активите, предмет на подпомагане за срока, рисковете и при условията, посочени в договора за предоставяне на финансова помощ.</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17. Получателят на помощта дължи връщане на изплатено междинно или окончателно плащане, когато ДФЗ установи, че получателят:</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17.1. или негов законен или упълномощен представител попада в някоя от категориите, определени в чл. 12, ал. 3 от Наредба № 22 на МЗХГ;</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17.2. попада в хипотезите по чл. 21 или 22 от Закона за предотвратяване и установяване на конфликт на интереси и/или представляващият получателя или член на управителния му орган, както и временно изпълняващ такава длъжност, е свързано лице по смисъла на § 1, т. 1 от допълнителната разпоредба на Закона за предотвратяване и установяване на конфликт на интереси с лице, заемащо публична длъжност в УО и/или РА, което е участвало при одобряването на проектното предложение от кандидат към стратегия за ВОМР или на искане за плащане.</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 xml:space="preserve">18. При неизпълнение на задължение по чл. 72 от Наредба № 22 на МЗХГ  ДФЗ писмено предупреждава получателя на помощта за констатираното неизпълнение и санкциите, които се налагат за този случай. Получателят на помощта може да отстрани </w:t>
      </w:r>
      <w:proofErr w:type="spellStart"/>
      <w:r w:rsidRPr="009C1C8E">
        <w:rPr>
          <w:rFonts w:ascii="Times New Roman" w:hAnsi="Times New Roman" w:cs="Times New Roman"/>
          <w:color w:val="000000"/>
          <w:sz w:val="24"/>
          <w:szCs w:val="24"/>
        </w:rPr>
        <w:t>нередовностите</w:t>
      </w:r>
      <w:proofErr w:type="spellEnd"/>
      <w:r w:rsidRPr="009C1C8E">
        <w:rPr>
          <w:rFonts w:ascii="Times New Roman" w:hAnsi="Times New Roman" w:cs="Times New Roman"/>
          <w:color w:val="000000"/>
          <w:sz w:val="24"/>
          <w:szCs w:val="24"/>
        </w:rPr>
        <w:t xml:space="preserve"> в едномесечен срок от получаване на писменото предупреждение. Срокът се смята спазен, ако информацията и/или документите са депозирани в деловодството на ДФЗ в посочения срок. Получателят на помощта не се санкционира, когато отстрани в срок </w:t>
      </w:r>
      <w:proofErr w:type="spellStart"/>
      <w:r w:rsidRPr="009C1C8E">
        <w:rPr>
          <w:rFonts w:ascii="Times New Roman" w:hAnsi="Times New Roman" w:cs="Times New Roman"/>
          <w:color w:val="000000"/>
          <w:sz w:val="24"/>
          <w:szCs w:val="24"/>
        </w:rPr>
        <w:t>нередовностите</w:t>
      </w:r>
      <w:proofErr w:type="spellEnd"/>
      <w:r w:rsidRPr="009C1C8E">
        <w:rPr>
          <w:rFonts w:ascii="Times New Roman" w:hAnsi="Times New Roman" w:cs="Times New Roman"/>
          <w:color w:val="000000"/>
          <w:sz w:val="24"/>
          <w:szCs w:val="24"/>
        </w:rPr>
        <w:t>. В случай на неизпълнение на задълженията в едномесечен срок получателят на помощта дължи връщане на получената помощ ведно със законната лихва към нея.</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19. Страните по договора не отговарят за неизпълнение на задължение, ако то се дължи на непреодолима сила или извънредно обстоятелство. В тези случаи получателят на помощта или упълномощено от него лице е длъжен да уведоми писмено ДФЗ за възникването на непреодолима сила или извънредно обстоятелство и да приложи достатъчно доказателства във връзка с това в срок до 15 работни дни от датата, на която получателят или упълномощеното лице е в състояние да го направи. Срокът се смята спазен, ако информацията и/или документите са депозирани в деловодството на ДФЗ за ЕЗФРСР в посочения срок.</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rPr>
          <w:rFonts w:ascii="Times New Roman" w:hAnsi="Times New Roman" w:cs="Times New Roman"/>
          <w:color w:val="000000"/>
          <w:sz w:val="24"/>
          <w:szCs w:val="24"/>
        </w:rPr>
      </w:pP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b/>
          <w:color w:val="000000"/>
          <w:sz w:val="24"/>
          <w:szCs w:val="24"/>
        </w:rPr>
      </w:pPr>
      <w:r w:rsidRPr="009C1C8E">
        <w:rPr>
          <w:rFonts w:ascii="Times New Roman" w:hAnsi="Times New Roman" w:cs="Times New Roman"/>
          <w:b/>
          <w:color w:val="000000"/>
          <w:sz w:val="24"/>
          <w:szCs w:val="24"/>
        </w:rPr>
        <w:lastRenderedPageBreak/>
        <w:t>ІІІ. Контрол за спазване на критериите за допустимост, ангажименти и други задължения на получателите на финансова помощ и отговорност при установено неспазване</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1. Контрол за изпълнение изискванията на условията за изпълнение, условията по  договора за предоставяне на финансова помощ, процедурите за възлагане на обществени поръчки по Закона за обществените поръчки, както и на документите, свързани с подпомаганата дейност, може да бъде извършван от представители на МИГ, ДФЗ, Министерството на земеделието, храните и горите, Сметната палата, Европейската комисия, Европейската сметна палата, Европейската служба за борба с измамите, Изпълнителната агенция „Сертификационен одит на средствата от европейските земеделски фондове“ и др.</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2. На контрол по т. 1 подлежат получателите на финансова помощ, както и техните контрагенти по подпомаганите дейности.</w:t>
      </w:r>
    </w:p>
    <w:p w:rsidR="009C1C8E" w:rsidRPr="009C1C8E" w:rsidRDefault="009C1C8E" w:rsidP="009C1C8E">
      <w:pPr>
        <w:pBdr>
          <w:top w:val="single" w:sz="4" w:space="1" w:color="auto"/>
          <w:left w:val="single" w:sz="4" w:space="0"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3. Когато Министерството на земеделието, храните и горите или Европейската комисия извършва оценяване или наблюдение на ПРСР 2014 – 2020 г., бенефициентът предоставя на оправомощените от тях лица всички документи и информация, които ще подпомогнат оценяването или наблюдението.</w:t>
      </w:r>
    </w:p>
    <w:p w:rsidR="009C1C8E" w:rsidRPr="009C1C8E" w:rsidRDefault="009C1C8E" w:rsidP="009C1C8E">
      <w:pPr>
        <w:pBdr>
          <w:top w:val="single" w:sz="4" w:space="1" w:color="auto"/>
          <w:left w:val="single" w:sz="4" w:space="0"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4. Когато след извършване на окончателното плащане получателят на финансова помощ не спазва критерии за допустимост или не изпълнява ангажимент или друго задължение, посочено в настоящите условия, административния договор или приложим нормативен акт, ДФЗ оттегля предоставеното подпомагане, като получателите на финансова помощ са длъжни да възстановят цялата или част от изплатената финансова помощ в размери, съгласно посоченото в административния договор.</w:t>
      </w:r>
    </w:p>
    <w:p w:rsidR="009C1C8E" w:rsidRPr="009C1C8E" w:rsidRDefault="009C1C8E" w:rsidP="009C1C8E">
      <w:pPr>
        <w:pBdr>
          <w:top w:val="single" w:sz="4" w:space="1" w:color="auto"/>
          <w:left w:val="single" w:sz="4" w:space="0"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5. Държавен фонд „Земеделие“ определя размера на подлежащите на възстановяване суми по т. 4, като дава възможност на получателите на финансова помощ да представят в срок, който не може да бъде по-кратък от две седмици, своите писмени възражения и при необходимост – доказателства, относно липса на основание за претендиране на посочената от ДФЗ сума и/или по отношение на нейния размер.</w:t>
      </w:r>
    </w:p>
    <w:p w:rsidR="009C1C8E" w:rsidRPr="009C1C8E" w:rsidRDefault="009C1C8E" w:rsidP="009C1C8E">
      <w:pPr>
        <w:pBdr>
          <w:top w:val="single" w:sz="4" w:space="1" w:color="auto"/>
          <w:left w:val="single" w:sz="4" w:space="0"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 xml:space="preserve">6. За установяване </w:t>
      </w:r>
      <w:proofErr w:type="spellStart"/>
      <w:r w:rsidRPr="009C1C8E">
        <w:rPr>
          <w:rFonts w:ascii="Times New Roman" w:hAnsi="Times New Roman" w:cs="Times New Roman"/>
          <w:color w:val="000000"/>
          <w:sz w:val="24"/>
          <w:szCs w:val="24"/>
        </w:rPr>
        <w:t>дължимостта</w:t>
      </w:r>
      <w:proofErr w:type="spellEnd"/>
      <w:r w:rsidRPr="009C1C8E">
        <w:rPr>
          <w:rFonts w:ascii="Times New Roman" w:hAnsi="Times New Roman" w:cs="Times New Roman"/>
          <w:color w:val="000000"/>
          <w:sz w:val="24"/>
          <w:szCs w:val="24"/>
        </w:rPr>
        <w:t xml:space="preserve"> на подлежащата на възстановяване сума по т. 4 и 5 изпълнителният директор на ДФЗ издава акт по чл. 166, ал. 2 от Данъчно-осигурителния процесуален кодекс.</w:t>
      </w:r>
    </w:p>
    <w:p w:rsidR="009C1C8E" w:rsidRPr="009C1C8E" w:rsidRDefault="009C1C8E" w:rsidP="009C1C8E">
      <w:pPr>
        <w:pBdr>
          <w:top w:val="single" w:sz="4" w:space="1" w:color="auto"/>
          <w:left w:val="single" w:sz="4" w:space="0"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lastRenderedPageBreak/>
        <w:t>7. Когато установеното неспазване по т. 4 попада в хипотеза, посочена в чл. 70, ал. 1 от ЗУСЕСИФ, респ. в 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ЗУСЕСИФ, изпълнителният директор на ДФЗ налага финансова корекция по проекта на получателя на финансова помощ по реда на раздел III от глава пета на ЗУСЕСИФ, като при определяне на окончателния размер на финансовата корекция се съобразяват критериите, посочени в чл. 35, параграф 3 на Делегиран регламент (ЕС) № 640/2014 на Комисията от 11 март 2014 година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(OB, L 181 от 2014г.).</w:t>
      </w:r>
    </w:p>
    <w:p w:rsidR="009C1C8E" w:rsidRPr="009C1C8E" w:rsidRDefault="009C1C8E" w:rsidP="009C1C8E">
      <w:pPr>
        <w:pBdr>
          <w:top w:val="single" w:sz="4" w:space="1" w:color="auto"/>
          <w:left w:val="single" w:sz="4" w:space="0"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 xml:space="preserve">8. Освен оттегляне на подпомагането по т. 4 и/или налагането на финансова корекция по т. 7 ДФЗ налага административни санкции на получателя на финансова помощ, произтичащи от установеното неспазване, в изрично посочените в приложим акт </w:t>
      </w:r>
      <w:proofErr w:type="spellStart"/>
      <w:r w:rsidRPr="009C1C8E">
        <w:rPr>
          <w:rFonts w:ascii="Times New Roman" w:hAnsi="Times New Roman" w:cs="Times New Roman"/>
          <w:color w:val="000000"/>
          <w:sz w:val="24"/>
          <w:szCs w:val="24"/>
        </w:rPr>
        <w:t>отЕвропейскотоправослучаи</w:t>
      </w:r>
      <w:proofErr w:type="spellEnd"/>
      <w:r w:rsidRPr="009C1C8E">
        <w:rPr>
          <w:rFonts w:ascii="Times New Roman" w:hAnsi="Times New Roman" w:cs="Times New Roman"/>
          <w:color w:val="000000"/>
          <w:sz w:val="24"/>
          <w:szCs w:val="24"/>
        </w:rPr>
        <w:t xml:space="preserve">. </w:t>
      </w:r>
    </w:p>
    <w:p w:rsidR="009C1C8E" w:rsidRPr="009C1C8E" w:rsidRDefault="009C1C8E" w:rsidP="009C1C8E">
      <w:pPr>
        <w:pBdr>
          <w:top w:val="single" w:sz="4" w:space="1" w:color="auto"/>
          <w:left w:val="single" w:sz="4" w:space="0"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 xml:space="preserve">9. Сумите по определените, но неизвършени финансови корекции, както и подлежащите на възстановяване суми, определени с акт по чл. 166, ал. 2 от Данъчно-осигурителния процесуален кодекс, се удовлетворяват по ред, посочен в административния договор и в действащото законодателство. </w:t>
      </w:r>
    </w:p>
    <w:p w:rsidR="009C1C8E" w:rsidRPr="009C1C8E" w:rsidRDefault="009C1C8E" w:rsidP="009C1C8E">
      <w:pPr>
        <w:pBdr>
          <w:top w:val="single" w:sz="4" w:space="1" w:color="auto"/>
          <w:left w:val="single" w:sz="4" w:space="0"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10. Получателите на финансова помощ не отговарят за неспазване на критерий за допустимост или за неспазване на ангажимент или друго задължение, когато то се дължи на непреодолима сила или извънредни обстоятелства при спазване на изискванията за това, посочени в административния договор.</w:t>
      </w:r>
    </w:p>
    <w:p w:rsidR="009C1C8E" w:rsidRPr="009C1C8E" w:rsidRDefault="009C1C8E" w:rsidP="009C1C8E">
      <w:pPr>
        <w:rPr>
          <w:rFonts w:ascii="Times New Roman" w:hAnsi="Times New Roman" w:cs="Times New Roman"/>
          <w:sz w:val="24"/>
          <w:szCs w:val="24"/>
        </w:rPr>
      </w:pP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rPr>
          <w:rFonts w:ascii="Times New Roman" w:hAnsi="Times New Roman" w:cs="Times New Roman"/>
          <w:b/>
          <w:bCs/>
          <w:color w:val="000000"/>
          <w:sz w:val="24"/>
          <w:szCs w:val="24"/>
        </w:rPr>
      </w:pPr>
      <w:r w:rsidRPr="009C1C8E">
        <w:rPr>
          <w:rFonts w:ascii="Times New Roman" w:hAnsi="Times New Roman" w:cs="Times New Roman"/>
          <w:b/>
          <w:bCs/>
          <w:color w:val="000000"/>
          <w:sz w:val="24"/>
          <w:szCs w:val="24"/>
        </w:rPr>
        <w:t>ІV. Изменение и прекратяване на административния договор</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rPr>
          <w:rFonts w:ascii="Times New Roman" w:hAnsi="Times New Roman" w:cs="Times New Roman"/>
          <w:b/>
          <w:bCs/>
          <w:color w:val="000000"/>
          <w:sz w:val="24"/>
          <w:szCs w:val="24"/>
        </w:rPr>
      </w:pP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bCs/>
          <w:color w:val="000000"/>
          <w:sz w:val="24"/>
          <w:szCs w:val="24"/>
        </w:rPr>
      </w:pPr>
      <w:r w:rsidRPr="009C1C8E">
        <w:rPr>
          <w:rFonts w:ascii="Times New Roman" w:hAnsi="Times New Roman" w:cs="Times New Roman"/>
          <w:bCs/>
          <w:color w:val="000000"/>
          <w:sz w:val="24"/>
          <w:szCs w:val="24"/>
        </w:rPr>
        <w:t xml:space="preserve">1. </w:t>
      </w:r>
      <w:proofErr w:type="spellStart"/>
      <w:r w:rsidRPr="009C1C8E">
        <w:rPr>
          <w:rFonts w:ascii="Times New Roman" w:hAnsi="Times New Roman" w:cs="Times New Roman"/>
          <w:bCs/>
          <w:color w:val="000000"/>
          <w:sz w:val="24"/>
          <w:szCs w:val="24"/>
        </w:rPr>
        <w:t>Административниятдоговор</w:t>
      </w:r>
      <w:proofErr w:type="spellEnd"/>
      <w:r w:rsidRPr="009C1C8E">
        <w:rPr>
          <w:rFonts w:ascii="Times New Roman" w:hAnsi="Times New Roman" w:cs="Times New Roman"/>
          <w:bCs/>
          <w:color w:val="000000"/>
          <w:sz w:val="24"/>
          <w:szCs w:val="24"/>
        </w:rPr>
        <w:t xml:space="preserve">, включително одобреният с него проект, може да бъде изменян и допълван при условията на чл. 39, ал. 1, 2 и 3 ЗУСЕСИФ и изрично предвидените в </w:t>
      </w:r>
      <w:r w:rsidRPr="009C1C8E">
        <w:rPr>
          <w:rFonts w:ascii="Times New Roman" w:hAnsi="Times New Roman" w:cs="Times New Roman"/>
          <w:bCs/>
          <w:color w:val="000000"/>
          <w:sz w:val="24"/>
          <w:szCs w:val="24"/>
        </w:rPr>
        <w:lastRenderedPageBreak/>
        <w:t>самия договор основания. Редът и условията за разглеждане на искането, както и основанията за недопустимост на направеното искане се уреждат в административния договор.</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bCs/>
          <w:color w:val="000000"/>
          <w:sz w:val="24"/>
          <w:szCs w:val="24"/>
        </w:rPr>
        <w:t>2. Административният договор се прекратява на основанията, посочени в  ЗУСЕСИФ и на изрично предвидените в самия договор основания.</w:t>
      </w:r>
    </w:p>
    <w:p w:rsidR="009C1C8E" w:rsidRPr="009C1C8E" w:rsidRDefault="009C1C8E" w:rsidP="009C1C8E">
      <w:pPr>
        <w:pStyle w:val="a3"/>
        <w:spacing w:after="0" w:line="300" w:lineRule="atLeast"/>
        <w:jc w:val="both"/>
        <w:rPr>
          <w:szCs w:val="24"/>
        </w:rPr>
      </w:pP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b/>
          <w:color w:val="000000"/>
          <w:sz w:val="24"/>
          <w:szCs w:val="24"/>
        </w:rPr>
      </w:pPr>
      <w:r w:rsidRPr="009C1C8E">
        <w:rPr>
          <w:rFonts w:ascii="Times New Roman" w:hAnsi="Times New Roman" w:cs="Times New Roman"/>
          <w:b/>
          <w:color w:val="000000"/>
          <w:sz w:val="24"/>
          <w:szCs w:val="24"/>
        </w:rPr>
        <w:t>Б. Финансово изпълнение на проектите и плащане</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1. Финансовата помощ се изплаща след извършване на дейностите по проекта.</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2.Финансовата помощ по проект може да бъде изплащана авансово, междинно и окончателно.</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3.За инвестиционни проекти е допустимо авансово плащане в съответствие с чл. 45 от Регламент (EC) № 1305/2013 и при спазване на условията на договора за предоставяне на финансова помощ.</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4. Допустимо е авансово плащане в размер до 50 на сто от стойността на одобрената финансова помощ по проекта и се изплаща при условията и по реда на сключения договор.</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5. Авансово плащане е допустимо, ако надвишава левовата равностойност на 2 000 евро и е в размер до 50 на сто от публичната помощ, свързана с инвестицията. Получател, който е възложител по чл. 5 и 6 от Закона за обществените поръчки, може да заяви авансово плащане не по-късно от шест месеца след съгласуване на обществената поръчка и сключване на допълнително споразумение към договора за предоставяне на финансовата помощ за вписване на избрания изпълнител. Авансово плащане е допустимо не повече от един път за периода на изпълнение на проекта.</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 xml:space="preserve"> 6. Авансово плащане може да бъде заявено не по-рано от 10 работни дни и не по-късно от 6 месеца от датата на сключване на договора за предоставяне на финансова помощ.</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 xml:space="preserve"> 7. При авансово плащане получателят представя банкова гаранция в полза на ДФЗ в размер 100 на сто от стойността на авансовото плащане, когато това е предвидено в </w:t>
      </w:r>
      <w:proofErr w:type="spellStart"/>
      <w:r w:rsidRPr="009C1C8E">
        <w:rPr>
          <w:rFonts w:ascii="Times New Roman" w:hAnsi="Times New Roman" w:cs="Times New Roman"/>
          <w:color w:val="000000"/>
          <w:sz w:val="24"/>
          <w:szCs w:val="24"/>
        </w:rPr>
        <w:t>админстративния</w:t>
      </w:r>
      <w:proofErr w:type="spellEnd"/>
      <w:r w:rsidRPr="009C1C8E">
        <w:rPr>
          <w:rFonts w:ascii="Times New Roman" w:hAnsi="Times New Roman" w:cs="Times New Roman"/>
          <w:color w:val="000000"/>
          <w:sz w:val="24"/>
          <w:szCs w:val="24"/>
        </w:rPr>
        <w:t xml:space="preserve"> договор.</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lastRenderedPageBreak/>
        <w:t>8.Междинно плащане се извършва при условие, че такова е заявено от кандидата/ползвателя и е предвидено в договора за предоставяне на финансова помощ.</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9. Междинно плащане е допустимо не повече от един път за периода на изпълнение на проекта, а в случай на проекти с включени строително-монтажни работи – не повече от два пъти за периода на изпълнение на проекта.</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10. Междинното плащане е допустимо за одобрена обособена част от инвестицията, като същото може да бъде заявено не по-късно от четири месеца преди изтичане на крайния срок за извършване на инвестицията по договора за предоставяне на финансова помощ.</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 xml:space="preserve">11. Безвъзмездната финансова помощ се изплаща след извършване на цялата инвестиция чрез окончателно плащане. </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12. Окончателно плащане се заявява след извършване на дейностите по проекта, но не по-късно от един месец след изтичане на срока за изпълнението му, определен в договора.</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 xml:space="preserve">13. Безвъзмездната финансов помощ не се изплаща, а изплатената финансова помощ подлежи на възстановяване от получател на финансова помощ, за който е установено, че е създал изкуствено условията, необходими за получаване на помощта, с цел осъществяване на предимство в противоречие с целите на </w:t>
      </w:r>
      <w:proofErr w:type="spellStart"/>
      <w:r w:rsidRPr="009C1C8E">
        <w:rPr>
          <w:rFonts w:ascii="Times New Roman" w:hAnsi="Times New Roman" w:cs="Times New Roman"/>
          <w:color w:val="000000"/>
          <w:sz w:val="24"/>
          <w:szCs w:val="24"/>
        </w:rPr>
        <w:t>подмярката</w:t>
      </w:r>
      <w:proofErr w:type="spellEnd"/>
      <w:r w:rsidRPr="009C1C8E">
        <w:rPr>
          <w:rFonts w:ascii="Times New Roman" w:hAnsi="Times New Roman" w:cs="Times New Roman"/>
          <w:color w:val="000000"/>
          <w:sz w:val="24"/>
          <w:szCs w:val="24"/>
        </w:rPr>
        <w:t>.</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14. Безвъзмездната финансова помощ се изплаща при условие, че към датата на подаване на искането за окончателно плащане получателят на финансова помощ е представил съответните лицензи, разрешения и/или удостоверения за регистрация за извършването на всички дейности или функционирането на всички активи, включени в одобрения проект, за които съгласно законодателството се изисква лицензиране, разрешение и/или регистрация.</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b/>
          <w:color w:val="000000"/>
          <w:sz w:val="24"/>
          <w:szCs w:val="24"/>
        </w:rPr>
      </w:pPr>
      <w:r w:rsidRPr="009C1C8E">
        <w:rPr>
          <w:rFonts w:ascii="Times New Roman" w:hAnsi="Times New Roman" w:cs="Times New Roman"/>
          <w:color w:val="000000"/>
          <w:sz w:val="24"/>
          <w:szCs w:val="24"/>
        </w:rPr>
        <w:t xml:space="preserve">Редът и условията за изплащане на финансовата помощ се уреждат с административния договор за предоставяне на безвъзмездна финансова помощ и в </w:t>
      </w:r>
      <w:r w:rsidRPr="009C1C8E">
        <w:rPr>
          <w:rFonts w:ascii="Times New Roman" w:hAnsi="Times New Roman" w:cs="Times New Roman"/>
          <w:sz w:val="24"/>
          <w:szCs w:val="24"/>
        </w:rPr>
        <w:t xml:space="preserve">НАРЕДБА № 4 от 30 май 2018 г. за условията и реда за изплащане, намаляване или отказ за изплащане, или за оттегляне на изплатената финансова помощ за мерките и </w:t>
      </w:r>
      <w:proofErr w:type="spellStart"/>
      <w:r w:rsidRPr="009C1C8E">
        <w:rPr>
          <w:rFonts w:ascii="Times New Roman" w:hAnsi="Times New Roman" w:cs="Times New Roman"/>
          <w:sz w:val="24"/>
          <w:szCs w:val="24"/>
        </w:rPr>
        <w:t>подмерките</w:t>
      </w:r>
      <w:proofErr w:type="spellEnd"/>
      <w:r w:rsidRPr="009C1C8E">
        <w:rPr>
          <w:rFonts w:ascii="Times New Roman" w:hAnsi="Times New Roman" w:cs="Times New Roman"/>
          <w:sz w:val="24"/>
          <w:szCs w:val="24"/>
        </w:rPr>
        <w:t xml:space="preserve"> по чл. 9б, т. 2 от Закона за подпомагане на земеделските производители</w:t>
      </w:r>
      <w:r w:rsidRPr="009C1C8E">
        <w:rPr>
          <w:rFonts w:ascii="Times New Roman" w:hAnsi="Times New Roman" w:cs="Times New Roman"/>
          <w:color w:val="000000"/>
          <w:sz w:val="24"/>
          <w:szCs w:val="24"/>
        </w:rPr>
        <w:t>.</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p>
    <w:p w:rsidR="009C1C8E" w:rsidRPr="009C1C8E" w:rsidRDefault="009C1C8E" w:rsidP="009C1C8E">
      <w:pPr>
        <w:pStyle w:val="a3"/>
        <w:spacing w:after="0" w:line="300" w:lineRule="atLeast"/>
        <w:jc w:val="both"/>
        <w:rPr>
          <w:szCs w:val="24"/>
        </w:rPr>
      </w:pPr>
    </w:p>
    <w:p w:rsidR="009C1C8E" w:rsidRPr="009C1C8E" w:rsidRDefault="009C1C8E" w:rsidP="009C1C8E">
      <w:pPr>
        <w:keepNext/>
        <w:keepLines/>
        <w:pBdr>
          <w:top w:val="single" w:sz="4" w:space="1" w:color="auto"/>
          <w:left w:val="single" w:sz="4" w:space="4" w:color="auto"/>
          <w:bottom w:val="single" w:sz="4" w:space="1" w:color="auto"/>
          <w:right w:val="single" w:sz="4" w:space="4" w:color="auto"/>
        </w:pBdr>
        <w:ind w:firstLine="720"/>
        <w:jc w:val="both"/>
        <w:outlineLvl w:val="0"/>
        <w:rPr>
          <w:rFonts w:ascii="Times New Roman" w:hAnsi="Times New Roman" w:cs="Times New Roman"/>
          <w:b/>
          <w:bCs/>
          <w:sz w:val="24"/>
          <w:szCs w:val="24"/>
        </w:rPr>
      </w:pPr>
      <w:r w:rsidRPr="009C1C8E">
        <w:rPr>
          <w:rFonts w:ascii="Times New Roman" w:hAnsi="Times New Roman" w:cs="Times New Roman"/>
          <w:b/>
          <w:bCs/>
          <w:sz w:val="24"/>
          <w:szCs w:val="24"/>
        </w:rPr>
        <w:lastRenderedPageBreak/>
        <w:t>В. Мерки за информираност и публичност</w:t>
      </w:r>
    </w:p>
    <w:p w:rsidR="009C1C8E" w:rsidRPr="009C1C8E" w:rsidRDefault="009C1C8E" w:rsidP="009C1C8E">
      <w:pPr>
        <w:keepNext/>
        <w:keepLines/>
        <w:pBdr>
          <w:top w:val="single" w:sz="4" w:space="1" w:color="auto"/>
          <w:left w:val="single" w:sz="4" w:space="4" w:color="auto"/>
          <w:bottom w:val="single" w:sz="4" w:space="1" w:color="auto"/>
          <w:right w:val="single" w:sz="4" w:space="4" w:color="auto"/>
        </w:pBdr>
        <w:ind w:firstLine="720"/>
        <w:jc w:val="both"/>
        <w:outlineLvl w:val="0"/>
        <w:rPr>
          <w:rFonts w:ascii="Times New Roman" w:hAnsi="Times New Roman" w:cs="Times New Roman"/>
          <w:sz w:val="24"/>
          <w:szCs w:val="24"/>
          <w:shd w:val="clear" w:color="auto" w:fill="FEFEFE"/>
        </w:rPr>
      </w:pPr>
      <w:r w:rsidRPr="009C1C8E">
        <w:rPr>
          <w:rFonts w:ascii="Times New Roman" w:hAnsi="Times New Roman" w:cs="Times New Roman"/>
          <w:bCs/>
          <w:sz w:val="24"/>
          <w:szCs w:val="24"/>
        </w:rPr>
        <w:t>Получателите на финансова помощ при изпълнение на стратегията за ВОМР са длъжни да осигурят публичност на дейността си източниците на финансиране съгласно г</w:t>
      </w:r>
      <w:r w:rsidRPr="009C1C8E">
        <w:rPr>
          <w:rStyle w:val="Bodytext3"/>
          <w:rFonts w:ascii="Times New Roman" w:hAnsi="Times New Roman" w:cs="Times New Roman"/>
          <w:bCs/>
          <w:color w:val="000000"/>
          <w:sz w:val="24"/>
          <w:szCs w:val="24"/>
        </w:rPr>
        <w:t xml:space="preserve">лава пета ИНФОРМИРАНОСТ И ПУБЛИЧНОСТ </w:t>
      </w:r>
      <w:r w:rsidRPr="009C1C8E">
        <w:rPr>
          <w:rFonts w:ascii="Times New Roman" w:hAnsi="Times New Roman" w:cs="Times New Roman"/>
          <w:sz w:val="24"/>
          <w:szCs w:val="24"/>
          <w:highlight w:val="white"/>
          <w:shd w:val="clear" w:color="auto" w:fill="FEFEFE"/>
        </w:rPr>
        <w:t xml:space="preserve">от Наредба № 22 </w:t>
      </w:r>
      <w:r w:rsidRPr="009C1C8E">
        <w:rPr>
          <w:rFonts w:ascii="Times New Roman" w:hAnsi="Times New Roman" w:cs="Times New Roman"/>
          <w:sz w:val="24"/>
          <w:szCs w:val="24"/>
          <w:shd w:val="clear" w:color="auto" w:fill="FEFEFE"/>
        </w:rPr>
        <w:t>на МЗХГ.</w:t>
      </w:r>
    </w:p>
    <w:p w:rsidR="009C1C8E" w:rsidRPr="009C1C8E" w:rsidRDefault="009C1C8E" w:rsidP="009C1C8E">
      <w:pPr>
        <w:pBdr>
          <w:top w:val="single" w:sz="4" w:space="1" w:color="auto"/>
          <w:left w:val="single" w:sz="4" w:space="4" w:color="auto"/>
          <w:bottom w:val="single" w:sz="4" w:space="1" w:color="auto"/>
          <w:right w:val="single" w:sz="4" w:space="4" w:color="auto"/>
        </w:pBdr>
        <w:ind w:firstLine="720"/>
        <w:jc w:val="both"/>
        <w:rPr>
          <w:rFonts w:ascii="Times New Roman" w:hAnsi="Times New Roman" w:cs="Times New Roman"/>
          <w:sz w:val="24"/>
          <w:szCs w:val="24"/>
        </w:rPr>
      </w:pPr>
      <w:r w:rsidRPr="009C1C8E">
        <w:rPr>
          <w:rFonts w:ascii="Times New Roman" w:hAnsi="Times New Roman" w:cs="Times New Roman"/>
          <w:sz w:val="24"/>
          <w:szCs w:val="24"/>
        </w:rPr>
        <w:t>Получателите на финансова помощ се задължават от датата на сключване на административния договор до крайната дата за изпълнение на одобрения проект да поставят на видно за обществеността място:</w:t>
      </w:r>
    </w:p>
    <w:p w:rsidR="009C1C8E" w:rsidRPr="009C1C8E" w:rsidRDefault="009C1C8E" w:rsidP="009C1C8E">
      <w:pPr>
        <w:pBdr>
          <w:top w:val="single" w:sz="4" w:space="1" w:color="auto"/>
          <w:left w:val="single" w:sz="4" w:space="4" w:color="auto"/>
          <w:bottom w:val="single" w:sz="4" w:space="1" w:color="auto"/>
          <w:right w:val="single" w:sz="4" w:space="4" w:color="auto"/>
        </w:pBdr>
        <w:ind w:firstLine="720"/>
        <w:jc w:val="both"/>
        <w:rPr>
          <w:rFonts w:ascii="Times New Roman" w:hAnsi="Times New Roman" w:cs="Times New Roman"/>
          <w:sz w:val="24"/>
          <w:szCs w:val="24"/>
        </w:rPr>
      </w:pPr>
      <w:r w:rsidRPr="009C1C8E">
        <w:rPr>
          <w:rFonts w:ascii="Times New Roman" w:hAnsi="Times New Roman" w:cs="Times New Roman"/>
          <w:sz w:val="24"/>
          <w:szCs w:val="24"/>
        </w:rPr>
        <w:t>а) плакат с размер не по-малък от А3, съдържащ информация за дейността, подпомагана от ЕЗФРСР – за проекти с размер на публичната финансова помощ от 10 000 евро до 50 000 евро включително;</w:t>
      </w:r>
    </w:p>
    <w:p w:rsidR="009C1C8E" w:rsidRPr="009C1C8E" w:rsidRDefault="009C1C8E" w:rsidP="009C1C8E">
      <w:pPr>
        <w:pBdr>
          <w:top w:val="single" w:sz="4" w:space="1" w:color="auto"/>
          <w:left w:val="single" w:sz="4" w:space="4" w:color="auto"/>
          <w:bottom w:val="single" w:sz="4" w:space="1" w:color="auto"/>
          <w:right w:val="single" w:sz="4" w:space="4" w:color="auto"/>
        </w:pBdr>
        <w:ind w:firstLine="720"/>
        <w:jc w:val="both"/>
        <w:rPr>
          <w:rFonts w:ascii="Times New Roman" w:hAnsi="Times New Roman" w:cs="Times New Roman"/>
          <w:sz w:val="24"/>
          <w:szCs w:val="24"/>
        </w:rPr>
      </w:pPr>
      <w:r w:rsidRPr="009C1C8E">
        <w:rPr>
          <w:rFonts w:ascii="Times New Roman" w:hAnsi="Times New Roman" w:cs="Times New Roman"/>
          <w:sz w:val="24"/>
          <w:szCs w:val="24"/>
        </w:rPr>
        <w:t>б) табела с размери не по-малко от 50 см височина и 70 см широчина, съдържаща информация за дейността, подпомагана от ЕЗФРСР – за проекти с размер на публичната финансова помощ над 50 000 евро;</w:t>
      </w:r>
    </w:p>
    <w:p w:rsidR="009C1C8E" w:rsidRPr="009C1C8E" w:rsidRDefault="009C1C8E" w:rsidP="009C1C8E">
      <w:pPr>
        <w:pBdr>
          <w:top w:val="single" w:sz="4" w:space="1" w:color="auto"/>
          <w:left w:val="single" w:sz="4" w:space="4" w:color="auto"/>
          <w:bottom w:val="single" w:sz="4" w:space="1" w:color="auto"/>
          <w:right w:val="single" w:sz="4" w:space="4" w:color="auto"/>
        </w:pBdr>
        <w:ind w:firstLine="720"/>
        <w:jc w:val="both"/>
        <w:rPr>
          <w:rFonts w:ascii="Times New Roman" w:hAnsi="Times New Roman" w:cs="Times New Roman"/>
          <w:sz w:val="24"/>
          <w:szCs w:val="24"/>
        </w:rPr>
      </w:pPr>
      <w:r w:rsidRPr="009C1C8E">
        <w:rPr>
          <w:rFonts w:ascii="Times New Roman" w:hAnsi="Times New Roman" w:cs="Times New Roman"/>
          <w:sz w:val="24"/>
          <w:szCs w:val="24"/>
        </w:rPr>
        <w:t>Получателите на финансова помощ се задължават да включват на професионалната си електронна страница, ако има такава, кратко описание на подпомаганата дейност. Описанието трябва да включва целите и резултатите от дейността, като подчертава финансовото подпомагане от Европейския съюз.</w:t>
      </w:r>
    </w:p>
    <w:p w:rsidR="009C1C8E" w:rsidRPr="009C1C8E" w:rsidRDefault="009C1C8E" w:rsidP="009C1C8E">
      <w:pPr>
        <w:pBdr>
          <w:top w:val="single" w:sz="4" w:space="1" w:color="auto"/>
          <w:left w:val="single" w:sz="4" w:space="4" w:color="auto"/>
          <w:bottom w:val="single" w:sz="4" w:space="1" w:color="auto"/>
          <w:right w:val="single" w:sz="4" w:space="4" w:color="auto"/>
        </w:pBdr>
        <w:ind w:firstLine="720"/>
        <w:jc w:val="both"/>
        <w:rPr>
          <w:rFonts w:ascii="Times New Roman" w:hAnsi="Times New Roman" w:cs="Times New Roman"/>
          <w:sz w:val="24"/>
          <w:szCs w:val="24"/>
        </w:rPr>
      </w:pPr>
      <w:r w:rsidRPr="009C1C8E">
        <w:rPr>
          <w:rFonts w:ascii="Times New Roman" w:hAnsi="Times New Roman" w:cs="Times New Roman"/>
          <w:sz w:val="24"/>
          <w:szCs w:val="24"/>
        </w:rPr>
        <w:t>Електронната страница, плакатът или табелата съдържат описание на проекта/дейността, която се подпомага, емблемата на Европейския съюз с пояснение за неговата роля, националното знаме на Република България, както и думите: „Европейският земеделски фонд за развитие на селските райони: Европа инвестира в селските райони.“Информацията  заема не по-малко от 25 на сто от плаката, табелата, билборда или електронната страница.</w:t>
      </w:r>
    </w:p>
    <w:p w:rsidR="009C1C8E" w:rsidRPr="009C1C8E" w:rsidRDefault="009C1C8E" w:rsidP="009C1C8E">
      <w:pPr>
        <w:pBdr>
          <w:top w:val="single" w:sz="4" w:space="1" w:color="auto"/>
          <w:left w:val="single" w:sz="4" w:space="4" w:color="auto"/>
          <w:bottom w:val="single" w:sz="4" w:space="1" w:color="auto"/>
          <w:right w:val="single" w:sz="4" w:space="4" w:color="auto"/>
        </w:pBdr>
        <w:shd w:val="clear" w:color="auto" w:fill="FEFEFE"/>
        <w:ind w:firstLine="720"/>
        <w:jc w:val="both"/>
        <w:rPr>
          <w:rFonts w:ascii="Times New Roman" w:hAnsi="Times New Roman" w:cs="Times New Roman"/>
          <w:sz w:val="24"/>
          <w:szCs w:val="24"/>
        </w:rPr>
      </w:pPr>
      <w:r w:rsidRPr="009C1C8E">
        <w:rPr>
          <w:rFonts w:ascii="Times New Roman" w:hAnsi="Times New Roman" w:cs="Times New Roman"/>
          <w:sz w:val="24"/>
          <w:szCs w:val="24"/>
        </w:rPr>
        <w:t>Техническите изисквания към информацията във връзка с оповестяване на подпомагането на дейността от ЕЗФРСР се определят съгласно Приложение № ІІІ към чл. 13 от Регламент за изпълнение (ЕС) № 808/2014 на Комисията от 17 юли 2014 г. за определяне на правила за прилагането на Регламент (ЕС) № 1305/2013 на Европейския парламент и на Съвета относно подпомагане на развитието на селските райони от Европейския земеделски фонд за развитие на селските райони (ЕЗФРСР) (ОВ, L 227/18 от 31 юли 2014 г.).</w:t>
      </w:r>
    </w:p>
    <w:p w:rsidR="009C1C8E" w:rsidRPr="009C1C8E" w:rsidRDefault="009C1C8E" w:rsidP="009C1C8E">
      <w:pPr>
        <w:rPr>
          <w:rFonts w:ascii="Times New Roman" w:hAnsi="Times New Roman" w:cs="Times New Roman"/>
          <w:sz w:val="24"/>
          <w:szCs w:val="24"/>
        </w:rPr>
      </w:pPr>
    </w:p>
    <w:p w:rsidR="009C1C8E" w:rsidRPr="009C1C8E" w:rsidRDefault="009C1C8E" w:rsidP="009C1C8E">
      <w:pPr>
        <w:rPr>
          <w:rFonts w:ascii="Times New Roman" w:hAnsi="Times New Roman" w:cs="Times New Roman"/>
          <w:sz w:val="24"/>
          <w:szCs w:val="24"/>
        </w:rPr>
      </w:pPr>
    </w:p>
    <w:p w:rsidR="009C1C8E" w:rsidRPr="009C1C8E" w:rsidRDefault="009C1C8E" w:rsidP="009C1C8E">
      <w:pPr>
        <w:pBdr>
          <w:top w:val="single" w:sz="4" w:space="1" w:color="auto"/>
          <w:left w:val="single" w:sz="4" w:space="23" w:color="auto"/>
          <w:right w:val="single" w:sz="4" w:space="4" w:color="auto"/>
        </w:pBdr>
        <w:ind w:left="720"/>
        <w:contextualSpacing/>
        <w:jc w:val="both"/>
        <w:rPr>
          <w:rFonts w:ascii="Times New Roman" w:hAnsi="Times New Roman" w:cs="Times New Roman"/>
          <w:b/>
          <w:sz w:val="24"/>
          <w:szCs w:val="24"/>
        </w:rPr>
      </w:pPr>
      <w:r w:rsidRPr="009C1C8E">
        <w:rPr>
          <w:rFonts w:ascii="Times New Roman" w:hAnsi="Times New Roman" w:cs="Times New Roman"/>
          <w:b/>
          <w:sz w:val="24"/>
          <w:szCs w:val="24"/>
        </w:rPr>
        <w:t>Г. Приложения към условията за изпълнение</w:t>
      </w:r>
    </w:p>
    <w:p w:rsidR="009C1C8E" w:rsidRPr="009C1C8E" w:rsidRDefault="009C1C8E" w:rsidP="009C1C8E">
      <w:pPr>
        <w:pBdr>
          <w:top w:val="single" w:sz="4" w:space="1" w:color="auto"/>
          <w:left w:val="single" w:sz="4" w:space="23" w:color="auto"/>
          <w:right w:val="single" w:sz="4" w:space="4" w:color="auto"/>
        </w:pBdr>
        <w:ind w:left="720"/>
        <w:contextualSpacing/>
        <w:jc w:val="both"/>
        <w:rPr>
          <w:rFonts w:ascii="Times New Roman" w:hAnsi="Times New Roman" w:cs="Times New Roman"/>
          <w:b/>
          <w:sz w:val="24"/>
          <w:szCs w:val="24"/>
        </w:rPr>
      </w:pPr>
    </w:p>
    <w:p w:rsidR="009C1C8E" w:rsidRPr="009C1C8E" w:rsidRDefault="009C1C8E" w:rsidP="009C1C8E">
      <w:pPr>
        <w:numPr>
          <w:ilvl w:val="0"/>
          <w:numId w:val="1"/>
        </w:numPr>
        <w:pBdr>
          <w:left w:val="single" w:sz="4" w:space="4" w:color="auto"/>
          <w:right w:val="single" w:sz="4" w:space="4" w:color="auto"/>
        </w:pBdr>
        <w:contextualSpacing/>
        <w:jc w:val="both"/>
        <w:rPr>
          <w:rFonts w:ascii="Times New Roman" w:hAnsi="Times New Roman" w:cs="Times New Roman"/>
          <w:sz w:val="24"/>
          <w:szCs w:val="24"/>
        </w:rPr>
      </w:pPr>
      <w:r w:rsidRPr="009C1C8E">
        <w:rPr>
          <w:rFonts w:ascii="Times New Roman" w:hAnsi="Times New Roman" w:cs="Times New Roman"/>
          <w:sz w:val="24"/>
          <w:szCs w:val="24"/>
        </w:rPr>
        <w:t>Приложение № 1 Документи за междинно и окончателно плащане.</w:t>
      </w:r>
    </w:p>
    <w:p w:rsidR="009C1C8E" w:rsidRPr="009C1C8E" w:rsidRDefault="009C1C8E" w:rsidP="009C1C8E">
      <w:pPr>
        <w:numPr>
          <w:ilvl w:val="0"/>
          <w:numId w:val="1"/>
        </w:numPr>
        <w:pBdr>
          <w:left w:val="single" w:sz="4" w:space="4" w:color="auto"/>
          <w:bottom w:val="single" w:sz="4" w:space="1" w:color="auto"/>
          <w:right w:val="single" w:sz="4" w:space="4" w:color="auto"/>
        </w:pBdr>
        <w:contextualSpacing/>
        <w:jc w:val="both"/>
        <w:rPr>
          <w:rFonts w:ascii="Times New Roman" w:hAnsi="Times New Roman" w:cs="Times New Roman"/>
          <w:sz w:val="24"/>
          <w:szCs w:val="24"/>
        </w:rPr>
      </w:pPr>
      <w:r w:rsidRPr="009C1C8E">
        <w:rPr>
          <w:rFonts w:ascii="Times New Roman" w:hAnsi="Times New Roman" w:cs="Times New Roman"/>
          <w:sz w:val="24"/>
          <w:szCs w:val="24"/>
        </w:rPr>
        <w:t>Приложение № 2 Декларация по чл. 25, ал. 2 от ЗУСЕСИФ.</w:t>
      </w:r>
    </w:p>
    <w:p w:rsidR="009C1C8E" w:rsidRPr="009C1C8E" w:rsidRDefault="009C1C8E" w:rsidP="009C1C8E">
      <w:pPr>
        <w:numPr>
          <w:ilvl w:val="0"/>
          <w:numId w:val="1"/>
        </w:numPr>
        <w:pBdr>
          <w:left w:val="single" w:sz="4" w:space="4" w:color="auto"/>
          <w:bottom w:val="single" w:sz="4" w:space="1" w:color="auto"/>
          <w:right w:val="single" w:sz="4" w:space="4" w:color="auto"/>
        </w:pBdr>
        <w:contextualSpacing/>
        <w:jc w:val="both"/>
        <w:rPr>
          <w:rFonts w:ascii="Times New Roman" w:hAnsi="Times New Roman" w:cs="Times New Roman"/>
          <w:sz w:val="24"/>
          <w:szCs w:val="24"/>
        </w:rPr>
      </w:pPr>
      <w:r w:rsidRPr="009C1C8E">
        <w:rPr>
          <w:rFonts w:ascii="Times New Roman" w:hAnsi="Times New Roman" w:cs="Times New Roman"/>
          <w:sz w:val="24"/>
          <w:szCs w:val="24"/>
        </w:rPr>
        <w:t>Приложение № 3 Декларация (в случай че бенефициентът на помощта няма регистрация по ЗДДС), че бенефициентът няма да упражни правото си на данъчен кредит за активи и услуги, финансирани от ПРСР 2014 - 2020 г.</w:t>
      </w:r>
    </w:p>
    <w:p w:rsidR="009C1C8E" w:rsidRPr="009C1C8E" w:rsidRDefault="009C1C8E" w:rsidP="009C1C8E">
      <w:pPr>
        <w:numPr>
          <w:ilvl w:val="0"/>
          <w:numId w:val="1"/>
        </w:numPr>
        <w:pBdr>
          <w:left w:val="single" w:sz="4" w:space="4" w:color="auto"/>
          <w:bottom w:val="single" w:sz="4" w:space="1" w:color="auto"/>
          <w:right w:val="single" w:sz="4" w:space="4" w:color="auto"/>
        </w:pBdr>
        <w:contextualSpacing/>
        <w:jc w:val="both"/>
        <w:rPr>
          <w:rFonts w:ascii="Times New Roman" w:hAnsi="Times New Roman" w:cs="Times New Roman"/>
          <w:sz w:val="24"/>
          <w:szCs w:val="24"/>
        </w:rPr>
      </w:pPr>
      <w:r w:rsidRPr="009C1C8E">
        <w:rPr>
          <w:rFonts w:ascii="Times New Roman" w:hAnsi="Times New Roman" w:cs="Times New Roman"/>
          <w:sz w:val="24"/>
          <w:szCs w:val="24"/>
        </w:rPr>
        <w:t>Приложение № 4 Декларация, че предприятието отговаря на изискванията за опазване на околната среда, включително намаляване на вредни емисии и отпадъци, съгласно Закона за опазване на околната среда.</w:t>
      </w:r>
    </w:p>
    <w:p w:rsidR="009C1C8E" w:rsidRPr="009C1C8E" w:rsidRDefault="009C1C8E" w:rsidP="009C1C8E">
      <w:pPr>
        <w:numPr>
          <w:ilvl w:val="0"/>
          <w:numId w:val="1"/>
        </w:numPr>
        <w:pBdr>
          <w:left w:val="single" w:sz="4" w:space="4" w:color="auto"/>
          <w:bottom w:val="single" w:sz="4" w:space="1" w:color="auto"/>
          <w:right w:val="single" w:sz="4" w:space="4" w:color="auto"/>
        </w:pBdr>
        <w:contextualSpacing/>
        <w:jc w:val="both"/>
        <w:rPr>
          <w:rFonts w:ascii="Times New Roman" w:hAnsi="Times New Roman" w:cs="Times New Roman"/>
          <w:sz w:val="24"/>
          <w:szCs w:val="24"/>
        </w:rPr>
      </w:pPr>
      <w:r w:rsidRPr="009C1C8E">
        <w:rPr>
          <w:rFonts w:ascii="Times New Roman" w:hAnsi="Times New Roman" w:cs="Times New Roman"/>
          <w:sz w:val="24"/>
          <w:szCs w:val="24"/>
        </w:rPr>
        <w:t>Приложение № 5 Декларация, че предприятието на бенефициента на помощта отговаря на изискванията за подобряване на безопасността и хигиенните условия на производство и труд съгласно Закона за здравословни и безопасни условия на труд.</w:t>
      </w:r>
    </w:p>
    <w:p w:rsidR="009C1C8E" w:rsidRPr="009C1C8E" w:rsidRDefault="009C1C8E" w:rsidP="009C1C8E">
      <w:pPr>
        <w:numPr>
          <w:ilvl w:val="0"/>
          <w:numId w:val="1"/>
        </w:numPr>
        <w:pBdr>
          <w:left w:val="single" w:sz="4" w:space="4" w:color="auto"/>
          <w:bottom w:val="single" w:sz="4" w:space="1" w:color="auto"/>
          <w:right w:val="single" w:sz="4" w:space="4" w:color="auto"/>
        </w:pBdr>
        <w:contextualSpacing/>
        <w:jc w:val="both"/>
        <w:rPr>
          <w:rFonts w:ascii="Times New Roman" w:hAnsi="Times New Roman" w:cs="Times New Roman"/>
          <w:sz w:val="24"/>
          <w:szCs w:val="24"/>
        </w:rPr>
      </w:pPr>
      <w:r w:rsidRPr="009C1C8E">
        <w:rPr>
          <w:rFonts w:ascii="Times New Roman" w:hAnsi="Times New Roman" w:cs="Times New Roman"/>
          <w:sz w:val="24"/>
          <w:szCs w:val="24"/>
        </w:rPr>
        <w:t xml:space="preserve">Приложение № 6 Декларация за съответствие с всички задължителни стандарти, отнасящи се до подпомаганите дейности, в т. ч. опазването на компонентите на околната среда, </w:t>
      </w:r>
      <w:proofErr w:type="spellStart"/>
      <w:r w:rsidRPr="009C1C8E">
        <w:rPr>
          <w:rFonts w:ascii="Times New Roman" w:hAnsi="Times New Roman" w:cs="Times New Roman"/>
          <w:sz w:val="24"/>
          <w:szCs w:val="24"/>
        </w:rPr>
        <w:t>фитосанитарните</w:t>
      </w:r>
      <w:proofErr w:type="spellEnd"/>
      <w:r w:rsidRPr="009C1C8E">
        <w:rPr>
          <w:rFonts w:ascii="Times New Roman" w:hAnsi="Times New Roman" w:cs="Times New Roman"/>
          <w:sz w:val="24"/>
          <w:szCs w:val="24"/>
        </w:rPr>
        <w:t xml:space="preserve"> изисквания, хуманното отношение към животните, ветеринарно-санитарните изисквания, безопасността на храните и фуражите, хигиената, безопасните условия на труд.</w:t>
      </w:r>
    </w:p>
    <w:p w:rsidR="009C1C8E" w:rsidRPr="009C1C8E" w:rsidRDefault="009C1C8E" w:rsidP="009C1C8E">
      <w:pPr>
        <w:numPr>
          <w:ilvl w:val="0"/>
          <w:numId w:val="1"/>
        </w:numPr>
        <w:pBdr>
          <w:left w:val="single" w:sz="4" w:space="4" w:color="auto"/>
          <w:bottom w:val="single" w:sz="4" w:space="1" w:color="auto"/>
          <w:right w:val="single" w:sz="4" w:space="4" w:color="auto"/>
        </w:pBdr>
        <w:contextualSpacing/>
        <w:jc w:val="both"/>
        <w:rPr>
          <w:rFonts w:ascii="Times New Roman" w:hAnsi="Times New Roman" w:cs="Times New Roman"/>
          <w:sz w:val="24"/>
          <w:szCs w:val="24"/>
        </w:rPr>
      </w:pPr>
      <w:r w:rsidRPr="009C1C8E">
        <w:rPr>
          <w:rFonts w:ascii="Times New Roman" w:hAnsi="Times New Roman" w:cs="Times New Roman"/>
          <w:sz w:val="24"/>
          <w:szCs w:val="24"/>
        </w:rPr>
        <w:t>Приложение № 7 Декларация за наличие или липса на двойно финансиране за същата инвестиция по други национални и/или европейски програми.</w:t>
      </w:r>
    </w:p>
    <w:p w:rsidR="009C1C8E" w:rsidRPr="009C1C8E" w:rsidRDefault="009C1C8E" w:rsidP="009C1C8E">
      <w:pPr>
        <w:numPr>
          <w:ilvl w:val="0"/>
          <w:numId w:val="1"/>
        </w:numPr>
        <w:pBdr>
          <w:left w:val="single" w:sz="4" w:space="4" w:color="auto"/>
          <w:bottom w:val="single" w:sz="4" w:space="1" w:color="auto"/>
          <w:right w:val="single" w:sz="4" w:space="4" w:color="auto"/>
        </w:pBdr>
        <w:contextualSpacing/>
        <w:jc w:val="both"/>
        <w:rPr>
          <w:rFonts w:ascii="Times New Roman" w:hAnsi="Times New Roman" w:cs="Times New Roman"/>
          <w:sz w:val="24"/>
          <w:szCs w:val="24"/>
        </w:rPr>
      </w:pPr>
      <w:r w:rsidRPr="009C1C8E">
        <w:rPr>
          <w:rFonts w:ascii="Times New Roman" w:hAnsi="Times New Roman" w:cs="Times New Roman"/>
          <w:sz w:val="24"/>
          <w:szCs w:val="24"/>
        </w:rPr>
        <w:t>Приложение № / Заявление за профил за достъп на ръководител на получателя на финансовата помощ до ИСУН 2020.</w:t>
      </w:r>
    </w:p>
    <w:p w:rsidR="009C1C8E" w:rsidRPr="009C1C8E" w:rsidRDefault="009C1C8E" w:rsidP="009C1C8E">
      <w:pPr>
        <w:numPr>
          <w:ilvl w:val="0"/>
          <w:numId w:val="1"/>
        </w:numPr>
        <w:pBdr>
          <w:left w:val="single" w:sz="4" w:space="4" w:color="auto"/>
          <w:bottom w:val="single" w:sz="4" w:space="1" w:color="auto"/>
          <w:right w:val="single" w:sz="4" w:space="4" w:color="auto"/>
        </w:pBdr>
        <w:contextualSpacing/>
        <w:jc w:val="both"/>
        <w:rPr>
          <w:rFonts w:ascii="Times New Roman" w:hAnsi="Times New Roman" w:cs="Times New Roman"/>
          <w:sz w:val="24"/>
          <w:szCs w:val="24"/>
        </w:rPr>
      </w:pPr>
      <w:r w:rsidRPr="009C1C8E">
        <w:rPr>
          <w:rFonts w:ascii="Times New Roman" w:hAnsi="Times New Roman" w:cs="Times New Roman"/>
          <w:sz w:val="24"/>
          <w:szCs w:val="24"/>
        </w:rPr>
        <w:t>Приложение № 9 Образец на Административен договор.</w:t>
      </w:r>
    </w:p>
    <w:p w:rsidR="009C1C8E" w:rsidRPr="009C1C8E" w:rsidRDefault="009C1C8E" w:rsidP="009C1C8E">
      <w:pPr>
        <w:rPr>
          <w:rFonts w:ascii="Times New Roman" w:hAnsi="Times New Roman" w:cs="Times New Roman"/>
          <w:sz w:val="24"/>
          <w:szCs w:val="24"/>
        </w:rPr>
      </w:pPr>
    </w:p>
    <w:p w:rsidR="009C1C8E" w:rsidRPr="009C1C8E" w:rsidRDefault="009C1C8E" w:rsidP="009C1C8E">
      <w:pPr>
        <w:rPr>
          <w:rFonts w:ascii="Times New Roman" w:hAnsi="Times New Roman" w:cs="Times New Roman"/>
          <w:sz w:val="24"/>
          <w:szCs w:val="24"/>
        </w:rPr>
      </w:pPr>
    </w:p>
    <w:p w:rsidR="009C1C8E" w:rsidRPr="009C1C8E" w:rsidRDefault="009C1C8E" w:rsidP="009C1C8E">
      <w:pPr>
        <w:rPr>
          <w:rFonts w:ascii="Times New Roman" w:hAnsi="Times New Roman" w:cs="Times New Roman"/>
          <w:sz w:val="24"/>
          <w:szCs w:val="24"/>
        </w:rPr>
      </w:pPr>
    </w:p>
    <w:p w:rsidR="009C1C8E" w:rsidRPr="009C1C8E" w:rsidRDefault="009C1C8E" w:rsidP="009C1C8E">
      <w:pPr>
        <w:spacing w:before="120"/>
        <w:ind w:firstLine="851"/>
        <w:jc w:val="both"/>
        <w:rPr>
          <w:rFonts w:ascii="Times New Roman" w:hAnsi="Times New Roman" w:cs="Times New Roman"/>
          <w:b/>
          <w:sz w:val="24"/>
          <w:szCs w:val="24"/>
          <w:highlight w:val="yellow"/>
        </w:rPr>
      </w:pPr>
      <w:r w:rsidRPr="009C1C8E">
        <w:rPr>
          <w:rFonts w:ascii="Times New Roman" w:eastAsia="Calibri" w:hAnsi="Times New Roman" w:cs="Times New Roman"/>
          <w:b/>
          <w:bCs/>
          <w:i/>
          <w:iCs/>
          <w:color w:val="000000"/>
          <w:sz w:val="24"/>
          <w:szCs w:val="24"/>
        </w:rPr>
        <w:t>При противоречие на насоките с нормативен акт се прилага приложимия нормативен акт от националното или европейското право.</w:t>
      </w:r>
    </w:p>
    <w:p w:rsidR="00776AB3" w:rsidRPr="009C1C8E" w:rsidRDefault="00776AB3">
      <w:pPr>
        <w:rPr>
          <w:rFonts w:ascii="Times New Roman" w:hAnsi="Times New Roman" w:cs="Times New Roman"/>
          <w:sz w:val="24"/>
          <w:szCs w:val="24"/>
        </w:rPr>
      </w:pPr>
    </w:p>
    <w:sectPr w:rsidR="00776AB3" w:rsidRPr="009C1C8E" w:rsidSect="008B7756">
      <w:headerReference w:type="default" r:id="rId8"/>
      <w:footerReference w:type="default" r:id="rId9"/>
      <w:pgSz w:w="11906" w:h="16838"/>
      <w:pgMar w:top="1411" w:right="849" w:bottom="1411" w:left="1411" w:header="288" w:footer="720" w:gutter="0"/>
      <w:cols w:space="72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53D6" w:rsidRDefault="000253D6" w:rsidP="00776AB3">
      <w:pPr>
        <w:spacing w:after="0" w:line="240" w:lineRule="auto"/>
      </w:pPr>
      <w:r>
        <w:separator/>
      </w:r>
    </w:p>
  </w:endnote>
  <w:endnote w:type="continuationSeparator" w:id="0">
    <w:p w:rsidR="000253D6" w:rsidRDefault="000253D6" w:rsidP="00776A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417C" w:rsidRDefault="000253D6">
    <w:pPr>
      <w:pStyle w:val="a7"/>
      <w:jc w:val="center"/>
      <w:rPr>
        <w:rFonts w:ascii="Verdana" w:hAnsi="Verdana"/>
        <w:sz w:val="18"/>
        <w:szCs w:val="18"/>
      </w:rPr>
    </w:pPr>
  </w:p>
  <w:p w:rsidR="00353FA1" w:rsidRDefault="009050C7">
    <w:pPr>
      <w:pStyle w:val="a7"/>
      <w:jc w:val="center"/>
      <w:rPr>
        <w:rFonts w:ascii="Verdana" w:hAnsi="Verdana"/>
        <w:sz w:val="18"/>
        <w:szCs w:val="18"/>
      </w:rPr>
    </w:pPr>
    <w:r w:rsidRPr="00FA5CE3">
      <w:rPr>
        <w:rFonts w:ascii="Verdana" w:hAnsi="Verdana"/>
        <w:sz w:val="18"/>
        <w:szCs w:val="18"/>
      </w:rPr>
      <w:fldChar w:fldCharType="begin"/>
    </w:r>
    <w:r w:rsidR="007F373D" w:rsidRPr="0015148C">
      <w:rPr>
        <w:rFonts w:ascii="Verdana" w:hAnsi="Verdana"/>
        <w:sz w:val="18"/>
        <w:szCs w:val="18"/>
      </w:rPr>
      <w:instrText xml:space="preserve">PAGE   </w:instrText>
    </w:r>
    <w:r w:rsidR="007F373D">
      <w:rPr>
        <w:rFonts w:ascii="Verdana" w:hAnsi="Verdana"/>
        <w:sz w:val="18"/>
        <w:szCs w:val="18"/>
      </w:rPr>
      <w:instrText>\</w:instrText>
    </w:r>
    <w:r w:rsidR="007F373D" w:rsidRPr="0015148C">
      <w:rPr>
        <w:rFonts w:ascii="Verdana" w:hAnsi="Verdana"/>
        <w:sz w:val="18"/>
        <w:szCs w:val="18"/>
      </w:rPr>
      <w:instrText>* MERGEFORMAT</w:instrText>
    </w:r>
    <w:r w:rsidRPr="00FA5CE3">
      <w:rPr>
        <w:rFonts w:ascii="Verdana" w:hAnsi="Verdana"/>
        <w:sz w:val="18"/>
        <w:szCs w:val="18"/>
      </w:rPr>
      <w:fldChar w:fldCharType="separate"/>
    </w:r>
    <w:r w:rsidR="008B7756">
      <w:rPr>
        <w:rFonts w:ascii="Verdana" w:hAnsi="Verdana"/>
        <w:noProof/>
        <w:sz w:val="18"/>
        <w:szCs w:val="18"/>
      </w:rPr>
      <w:t>4</w:t>
    </w:r>
    <w:r w:rsidRPr="00FA5CE3">
      <w:rPr>
        <w:rFonts w:ascii="Verdana" w:hAnsi="Verdana"/>
        <w:sz w:val="18"/>
        <w:szCs w:val="18"/>
      </w:rPr>
      <w:fldChar w:fldCharType="end"/>
    </w:r>
  </w:p>
  <w:p w:rsidR="00353FA1" w:rsidRPr="008B7756" w:rsidRDefault="007F373D" w:rsidP="00635C58">
    <w:pPr>
      <w:pStyle w:val="a7"/>
      <w:jc w:val="center"/>
      <w:rPr>
        <w:szCs w:val="24"/>
        <w:lang w:val="ru-RU"/>
      </w:rPr>
    </w:pPr>
    <w:r w:rsidRPr="008B7756">
      <w:rPr>
        <w:szCs w:val="24"/>
        <w:lang w:val="en-US"/>
      </w:rPr>
      <w:t>www</w:t>
    </w:r>
    <w:r w:rsidRPr="008B7756">
      <w:rPr>
        <w:szCs w:val="24"/>
        <w:lang w:val="ru-RU"/>
      </w:rPr>
      <w:t>.</w:t>
    </w:r>
    <w:proofErr w:type="spellStart"/>
    <w:r w:rsidRPr="008B7756">
      <w:rPr>
        <w:szCs w:val="24"/>
        <w:lang w:val="en-US"/>
      </w:rPr>
      <w:t>eufunds</w:t>
    </w:r>
    <w:proofErr w:type="spellEnd"/>
    <w:r w:rsidRPr="008B7756">
      <w:rPr>
        <w:szCs w:val="24"/>
        <w:lang w:val="ru-RU"/>
      </w:rPr>
      <w:t>.</w:t>
    </w:r>
    <w:proofErr w:type="spellStart"/>
    <w:r w:rsidRPr="008B7756">
      <w:rPr>
        <w:szCs w:val="24"/>
        <w:lang w:val="en-US"/>
      </w:rPr>
      <w:t>bg</w:t>
    </w:r>
    <w:proofErr w:type="spellEnd"/>
  </w:p>
  <w:p w:rsidR="00353FA1" w:rsidRPr="008B7756" w:rsidRDefault="008B7756" w:rsidP="00635C58">
    <w:pPr>
      <w:pStyle w:val="a7"/>
      <w:jc w:val="center"/>
      <w:rPr>
        <w:szCs w:val="24"/>
      </w:rPr>
    </w:pPr>
    <w:r w:rsidRPr="008B7756">
      <w:rPr>
        <w:szCs w:val="24"/>
      </w:rPr>
      <w:t>Процедура №…………………..</w:t>
    </w:r>
  </w:p>
  <w:p w:rsidR="00353FA1" w:rsidRDefault="000253D6"/>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53D6" w:rsidRDefault="000253D6" w:rsidP="00776AB3">
      <w:pPr>
        <w:spacing w:after="0" w:line="240" w:lineRule="auto"/>
      </w:pPr>
      <w:r>
        <w:separator/>
      </w:r>
    </w:p>
  </w:footnote>
  <w:footnote w:type="continuationSeparator" w:id="0">
    <w:p w:rsidR="000253D6" w:rsidRDefault="000253D6" w:rsidP="00776A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3FA1" w:rsidRDefault="000253D6" w:rsidP="006A09CB">
    <w:pPr>
      <w:pStyle w:val="a5"/>
      <w:rPr>
        <w:b/>
        <w:lang w:val="ru-RU"/>
      </w:rPr>
    </w:pPr>
  </w:p>
  <w:p w:rsidR="008B7756" w:rsidRPr="00397A7E" w:rsidRDefault="008B7756" w:rsidP="008B7756">
    <w:pPr>
      <w:rPr>
        <w:sz w:val="28"/>
        <w:szCs w:val="28"/>
      </w:rPr>
    </w:pPr>
    <w:r w:rsidRPr="001A646A">
      <w:rPr>
        <w:noProof/>
        <w:sz w:val="28"/>
        <w:szCs w:val="28"/>
      </w:rPr>
      <w:drawing>
        <wp:inline distT="0" distB="0" distL="0" distR="0">
          <wp:extent cx="742950" cy="581025"/>
          <wp:effectExtent l="0" t="0" r="0" b="9525"/>
          <wp:docPr id="98" name="Картина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2950" cy="581025"/>
                  </a:xfrm>
                  <a:prstGeom prst="rect">
                    <a:avLst/>
                  </a:prstGeom>
                  <a:noFill/>
                  <a:ln>
                    <a:noFill/>
                  </a:ln>
                </pic:spPr>
              </pic:pic>
            </a:graphicData>
          </a:graphic>
        </wp:inline>
      </w:drawing>
    </w:r>
    <w:r>
      <w:rPr>
        <w:sz w:val="28"/>
        <w:szCs w:val="28"/>
      </w:rPr>
      <w:t xml:space="preserve">   </w:t>
    </w:r>
    <w:r w:rsidRPr="001A646A">
      <w:rPr>
        <w:noProof/>
        <w:sz w:val="28"/>
        <w:szCs w:val="28"/>
      </w:rPr>
      <w:drawing>
        <wp:inline distT="0" distB="0" distL="0" distR="0">
          <wp:extent cx="514350" cy="514350"/>
          <wp:effectExtent l="0" t="0" r="0" b="0"/>
          <wp:docPr id="99" name="Картина 99" descr="logo LEA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1" descr="logo LEADE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14350" cy="514350"/>
                  </a:xfrm>
                  <a:prstGeom prst="rect">
                    <a:avLst/>
                  </a:prstGeom>
                  <a:noFill/>
                  <a:ln>
                    <a:noFill/>
                  </a:ln>
                </pic:spPr>
              </pic:pic>
            </a:graphicData>
          </a:graphic>
        </wp:inline>
      </w:drawing>
    </w:r>
    <w:r>
      <w:rPr>
        <w:sz w:val="28"/>
        <w:szCs w:val="28"/>
      </w:rPr>
      <w:t xml:space="preserve">  </w:t>
    </w:r>
    <w:r w:rsidRPr="001A646A">
      <w:rPr>
        <w:i/>
        <w:noProof/>
        <w:sz w:val="28"/>
        <w:szCs w:val="28"/>
      </w:rPr>
      <w:drawing>
        <wp:inline distT="0" distB="0" distL="0" distR="0">
          <wp:extent cx="590550" cy="466725"/>
          <wp:effectExtent l="19050" t="19050" r="19050" b="28575"/>
          <wp:docPr id="100" name="Картина 100" descr="Описание: bg_fla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7" descr="Описание: bg_fla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90550" cy="466725"/>
                  </a:xfrm>
                  <a:prstGeom prst="rect">
                    <a:avLst/>
                  </a:prstGeom>
                  <a:solidFill>
                    <a:srgbClr val="969696">
                      <a:alpha val="52940"/>
                    </a:srgbClr>
                  </a:solidFill>
                  <a:ln w="6350" cmpd="sng">
                    <a:solidFill>
                      <a:srgbClr val="999999"/>
                    </a:solidFill>
                    <a:miter lim="800000"/>
                    <a:headEnd/>
                    <a:tailEnd/>
                  </a:ln>
                  <a:effectLst/>
                </pic:spPr>
              </pic:pic>
            </a:graphicData>
          </a:graphic>
        </wp:inline>
      </w:drawing>
    </w:r>
    <w:r>
      <w:rPr>
        <w:sz w:val="28"/>
        <w:szCs w:val="28"/>
      </w:rPr>
      <w:t xml:space="preserve">  </w:t>
    </w:r>
    <w:r w:rsidRPr="001A646A">
      <w:rPr>
        <w:noProof/>
        <w:sz w:val="28"/>
        <w:szCs w:val="28"/>
      </w:rPr>
      <w:drawing>
        <wp:inline distT="0" distB="0" distL="0" distR="0">
          <wp:extent cx="790575" cy="504825"/>
          <wp:effectExtent l="0" t="0" r="9525" b="9525"/>
          <wp:docPr id="101" name="Картина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0"/>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90575" cy="504825"/>
                  </a:xfrm>
                  <a:prstGeom prst="rect">
                    <a:avLst/>
                  </a:prstGeom>
                  <a:noFill/>
                  <a:ln>
                    <a:noFill/>
                  </a:ln>
                </pic:spPr>
              </pic:pic>
            </a:graphicData>
          </a:graphic>
        </wp:inline>
      </w:drawing>
    </w:r>
    <w:r>
      <w:rPr>
        <w:sz w:val="28"/>
        <w:szCs w:val="28"/>
      </w:rPr>
      <w:t xml:space="preserve">  </w:t>
    </w:r>
    <w:r w:rsidRPr="001A646A">
      <w:rPr>
        <w:noProof/>
        <w:sz w:val="28"/>
        <w:szCs w:val="28"/>
      </w:rPr>
      <w:drawing>
        <wp:inline distT="0" distB="0" distL="0" distR="0">
          <wp:extent cx="1171575" cy="600075"/>
          <wp:effectExtent l="0" t="0" r="9525" b="9525"/>
          <wp:docPr id="102" name="Картина 102" descr="logo PRSR2014-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9" descr="logo PRSR2014-202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171575" cy="600075"/>
                  </a:xfrm>
                  <a:prstGeom prst="rect">
                    <a:avLst/>
                  </a:prstGeom>
                  <a:noFill/>
                  <a:ln>
                    <a:noFill/>
                  </a:ln>
                </pic:spPr>
              </pic:pic>
            </a:graphicData>
          </a:graphic>
        </wp:inline>
      </w:drawing>
    </w:r>
    <w:r>
      <w:rPr>
        <w:sz w:val="28"/>
        <w:szCs w:val="28"/>
        <w:lang w:val="en-US"/>
      </w:rPr>
      <w:t xml:space="preserve"> </w:t>
    </w:r>
    <w:r w:rsidRPr="001A646A">
      <w:rPr>
        <w:noProof/>
        <w:sz w:val="28"/>
        <w:szCs w:val="28"/>
      </w:rPr>
      <w:drawing>
        <wp:inline distT="0" distB="0" distL="0" distR="0">
          <wp:extent cx="1095375" cy="590550"/>
          <wp:effectExtent l="0" t="0" r="9525" b="0"/>
          <wp:docPr id="103" name="Картина 103" descr="Свързано изображе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6" descr="Свързано изображение"/>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95375" cy="590550"/>
                  </a:xfrm>
                  <a:prstGeom prst="rect">
                    <a:avLst/>
                  </a:prstGeom>
                  <a:noFill/>
                  <a:ln>
                    <a:noFill/>
                  </a:ln>
                </pic:spPr>
              </pic:pic>
            </a:graphicData>
          </a:graphic>
        </wp:inline>
      </w:drawing>
    </w:r>
    <w:r w:rsidRPr="00B20C75">
      <w:rPr>
        <w:noProof/>
      </w:rPr>
      <w:drawing>
        <wp:inline distT="0" distB="0" distL="0" distR="0">
          <wp:extent cx="1200150" cy="552450"/>
          <wp:effectExtent l="0" t="0" r="0" b="0"/>
          <wp:docPr id="104" name="Картина 104" descr="Свързано изображе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descr="Свързано изображение"/>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00150" cy="552450"/>
                  </a:xfrm>
                  <a:prstGeom prst="rect">
                    <a:avLst/>
                  </a:prstGeom>
                  <a:noFill/>
                  <a:ln>
                    <a:noFill/>
                  </a:ln>
                </pic:spPr>
              </pic:pic>
            </a:graphicData>
          </a:graphic>
        </wp:inline>
      </w:drawing>
    </w:r>
  </w:p>
  <w:p w:rsidR="008B7756" w:rsidRPr="000E06D6" w:rsidRDefault="008B7756" w:rsidP="008B7756">
    <w:pPr>
      <w:pStyle w:val="ac"/>
      <w:jc w:val="center"/>
      <w:rPr>
        <w:b/>
        <w:sz w:val="24"/>
        <w:szCs w:val="24"/>
        <w:highlight w:val="white"/>
        <w:shd w:val="clear" w:color="auto" w:fill="FEFEFE"/>
        <w:lang w:val="ru-RU"/>
      </w:rPr>
    </w:pPr>
    <w:proofErr w:type="spellStart"/>
    <w:r w:rsidRPr="000E06D6">
      <w:rPr>
        <w:b/>
        <w:sz w:val="24"/>
        <w:szCs w:val="24"/>
        <w:highlight w:val="white"/>
        <w:shd w:val="clear" w:color="auto" w:fill="FEFEFE"/>
        <w:lang w:val="ru-RU"/>
      </w:rPr>
      <w:t>Европейският</w:t>
    </w:r>
    <w:proofErr w:type="spellEnd"/>
    <w:r w:rsidRPr="000E06D6">
      <w:rPr>
        <w:b/>
        <w:sz w:val="24"/>
        <w:szCs w:val="24"/>
        <w:highlight w:val="white"/>
        <w:shd w:val="clear" w:color="auto" w:fill="FEFEFE"/>
        <w:lang w:val="ru-RU"/>
      </w:rPr>
      <w:t xml:space="preserve"> </w:t>
    </w:r>
    <w:proofErr w:type="spellStart"/>
    <w:r w:rsidRPr="000E06D6">
      <w:rPr>
        <w:b/>
        <w:sz w:val="24"/>
        <w:szCs w:val="24"/>
        <w:highlight w:val="white"/>
        <w:shd w:val="clear" w:color="auto" w:fill="FEFEFE"/>
        <w:lang w:val="ru-RU"/>
      </w:rPr>
      <w:t>земеделски</w:t>
    </w:r>
    <w:proofErr w:type="spellEnd"/>
    <w:r w:rsidRPr="000E06D6">
      <w:rPr>
        <w:b/>
        <w:sz w:val="24"/>
        <w:szCs w:val="24"/>
        <w:highlight w:val="white"/>
        <w:shd w:val="clear" w:color="auto" w:fill="FEFEFE"/>
        <w:lang w:val="ru-RU"/>
      </w:rPr>
      <w:t xml:space="preserve"> фонд за развитие на </w:t>
    </w:r>
    <w:proofErr w:type="spellStart"/>
    <w:r w:rsidRPr="000E06D6">
      <w:rPr>
        <w:b/>
        <w:sz w:val="24"/>
        <w:szCs w:val="24"/>
        <w:highlight w:val="white"/>
        <w:shd w:val="clear" w:color="auto" w:fill="FEFEFE"/>
        <w:lang w:val="ru-RU"/>
      </w:rPr>
      <w:t>селските</w:t>
    </w:r>
    <w:proofErr w:type="spellEnd"/>
    <w:r w:rsidRPr="000E06D6">
      <w:rPr>
        <w:b/>
        <w:sz w:val="24"/>
        <w:szCs w:val="24"/>
        <w:highlight w:val="white"/>
        <w:shd w:val="clear" w:color="auto" w:fill="FEFEFE"/>
        <w:lang w:val="ru-RU"/>
      </w:rPr>
      <w:t xml:space="preserve"> </w:t>
    </w:r>
    <w:proofErr w:type="spellStart"/>
    <w:r w:rsidRPr="000E06D6">
      <w:rPr>
        <w:b/>
        <w:sz w:val="24"/>
        <w:szCs w:val="24"/>
        <w:highlight w:val="white"/>
        <w:shd w:val="clear" w:color="auto" w:fill="FEFEFE"/>
        <w:lang w:val="ru-RU"/>
      </w:rPr>
      <w:t>райони</w:t>
    </w:r>
    <w:proofErr w:type="spellEnd"/>
    <w:r w:rsidRPr="000E06D6">
      <w:rPr>
        <w:b/>
        <w:sz w:val="24"/>
        <w:szCs w:val="24"/>
        <w:highlight w:val="white"/>
        <w:shd w:val="clear" w:color="auto" w:fill="FEFEFE"/>
        <w:lang w:val="ru-RU"/>
      </w:rPr>
      <w:t>:</w:t>
    </w:r>
  </w:p>
  <w:p w:rsidR="008B7756" w:rsidRPr="000E06D6" w:rsidRDefault="008B7756" w:rsidP="008B7756">
    <w:pPr>
      <w:pStyle w:val="ac"/>
      <w:jc w:val="center"/>
      <w:rPr>
        <w:b/>
        <w:sz w:val="24"/>
        <w:szCs w:val="24"/>
        <w:lang w:val="ru-RU"/>
      </w:rPr>
    </w:pPr>
    <w:r w:rsidRPr="000E06D6">
      <w:rPr>
        <w:b/>
        <w:sz w:val="24"/>
        <w:szCs w:val="24"/>
        <w:highlight w:val="white"/>
        <w:shd w:val="clear" w:color="auto" w:fill="FEFEFE"/>
        <w:lang w:val="ru-RU"/>
      </w:rPr>
      <w:t xml:space="preserve">Европа </w:t>
    </w:r>
    <w:proofErr w:type="spellStart"/>
    <w:r w:rsidRPr="000E06D6">
      <w:rPr>
        <w:b/>
        <w:sz w:val="24"/>
        <w:szCs w:val="24"/>
        <w:highlight w:val="white"/>
        <w:shd w:val="clear" w:color="auto" w:fill="FEFEFE"/>
        <w:lang w:val="ru-RU"/>
      </w:rPr>
      <w:t>инвестира</w:t>
    </w:r>
    <w:proofErr w:type="spellEnd"/>
    <w:r w:rsidRPr="000E06D6">
      <w:rPr>
        <w:b/>
        <w:sz w:val="24"/>
        <w:szCs w:val="24"/>
        <w:highlight w:val="white"/>
        <w:shd w:val="clear" w:color="auto" w:fill="FEFEFE"/>
        <w:lang w:val="ru-RU"/>
      </w:rPr>
      <w:t xml:space="preserve"> в </w:t>
    </w:r>
    <w:proofErr w:type="spellStart"/>
    <w:r w:rsidRPr="000E06D6">
      <w:rPr>
        <w:b/>
        <w:sz w:val="24"/>
        <w:szCs w:val="24"/>
        <w:highlight w:val="white"/>
        <w:shd w:val="clear" w:color="auto" w:fill="FEFEFE"/>
        <w:lang w:val="ru-RU"/>
      </w:rPr>
      <w:t>селските</w:t>
    </w:r>
    <w:proofErr w:type="spellEnd"/>
    <w:r w:rsidRPr="000E06D6">
      <w:rPr>
        <w:b/>
        <w:sz w:val="24"/>
        <w:szCs w:val="24"/>
        <w:highlight w:val="white"/>
        <w:shd w:val="clear" w:color="auto" w:fill="FEFEFE"/>
        <w:lang w:val="ru-RU"/>
      </w:rPr>
      <w:t xml:space="preserve"> </w:t>
    </w:r>
    <w:proofErr w:type="spellStart"/>
    <w:proofErr w:type="gramStart"/>
    <w:r w:rsidRPr="000E06D6">
      <w:rPr>
        <w:b/>
        <w:sz w:val="24"/>
        <w:szCs w:val="24"/>
        <w:highlight w:val="white"/>
        <w:shd w:val="clear" w:color="auto" w:fill="FEFEFE"/>
        <w:lang w:val="ru-RU"/>
      </w:rPr>
      <w:t>райони</w:t>
    </w:r>
    <w:proofErr w:type="spellEnd"/>
    <w:r w:rsidRPr="000E06D6">
      <w:rPr>
        <w:b/>
        <w:sz w:val="24"/>
        <w:szCs w:val="24"/>
        <w:shd w:val="clear" w:color="auto" w:fill="FEFEFE"/>
        <w:lang w:val="ru-RU"/>
      </w:rPr>
      <w:t xml:space="preserve"> !</w:t>
    </w:r>
    <w:proofErr w:type="gramEnd"/>
  </w:p>
  <w:p w:rsidR="00353FA1" w:rsidRDefault="000253D6" w:rsidP="008B7756">
    <w:pP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997DA7"/>
    <w:multiLevelType w:val="hybridMultilevel"/>
    <w:tmpl w:val="E61EA3C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1C8E"/>
    <w:rsid w:val="000253D6"/>
    <w:rsid w:val="005248B5"/>
    <w:rsid w:val="00653B84"/>
    <w:rsid w:val="00776AB3"/>
    <w:rsid w:val="007F373D"/>
    <w:rsid w:val="008B7756"/>
    <w:rsid w:val="008E2D1A"/>
    <w:rsid w:val="009050C7"/>
    <w:rsid w:val="009C1C8E"/>
    <w:rsid w:val="00D72E8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E511C6"/>
  <w15:docId w15:val="{A23B8866-21AE-442D-AE50-837787872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6AB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9C1C8E"/>
    <w:pPr>
      <w:suppressAutoHyphens/>
      <w:spacing w:after="120" w:line="240" w:lineRule="auto"/>
    </w:pPr>
    <w:rPr>
      <w:rFonts w:ascii="Times New Roman" w:eastAsia="Times New Roman" w:hAnsi="Times New Roman" w:cs="Times New Roman"/>
      <w:sz w:val="24"/>
      <w:szCs w:val="20"/>
      <w:lang w:eastAsia="ar-SA"/>
    </w:rPr>
  </w:style>
  <w:style w:type="character" w:customStyle="1" w:styleId="a4">
    <w:name w:val="Основен текст Знак"/>
    <w:basedOn w:val="a0"/>
    <w:link w:val="a3"/>
    <w:uiPriority w:val="99"/>
    <w:rsid w:val="009C1C8E"/>
    <w:rPr>
      <w:rFonts w:ascii="Times New Roman" w:eastAsia="Times New Roman" w:hAnsi="Times New Roman" w:cs="Times New Roman"/>
      <w:sz w:val="24"/>
      <w:szCs w:val="20"/>
      <w:lang w:eastAsia="ar-SA"/>
    </w:rPr>
  </w:style>
  <w:style w:type="paragraph" w:styleId="a5">
    <w:name w:val="header"/>
    <w:basedOn w:val="a"/>
    <w:link w:val="a6"/>
    <w:uiPriority w:val="99"/>
    <w:rsid w:val="009C1C8E"/>
    <w:pPr>
      <w:tabs>
        <w:tab w:val="center" w:pos="4536"/>
        <w:tab w:val="right" w:pos="9072"/>
      </w:tabs>
      <w:suppressAutoHyphens/>
      <w:spacing w:after="0" w:line="240" w:lineRule="auto"/>
    </w:pPr>
    <w:rPr>
      <w:rFonts w:ascii="Times New Roman" w:eastAsia="Times New Roman" w:hAnsi="Times New Roman" w:cs="Times New Roman"/>
      <w:sz w:val="24"/>
      <w:szCs w:val="20"/>
      <w:lang w:val="en-US" w:eastAsia="ar-SA"/>
    </w:rPr>
  </w:style>
  <w:style w:type="character" w:customStyle="1" w:styleId="a6">
    <w:name w:val="Горен колонтитул Знак"/>
    <w:basedOn w:val="a0"/>
    <w:link w:val="a5"/>
    <w:uiPriority w:val="99"/>
    <w:rsid w:val="009C1C8E"/>
    <w:rPr>
      <w:rFonts w:ascii="Times New Roman" w:eastAsia="Times New Roman" w:hAnsi="Times New Roman" w:cs="Times New Roman"/>
      <w:sz w:val="24"/>
      <w:szCs w:val="20"/>
      <w:lang w:val="en-US" w:eastAsia="ar-SA"/>
    </w:rPr>
  </w:style>
  <w:style w:type="paragraph" w:styleId="a7">
    <w:name w:val="footer"/>
    <w:basedOn w:val="a"/>
    <w:link w:val="a8"/>
    <w:uiPriority w:val="99"/>
    <w:rsid w:val="009C1C8E"/>
    <w:pPr>
      <w:tabs>
        <w:tab w:val="center" w:pos="4536"/>
        <w:tab w:val="right" w:pos="9072"/>
      </w:tabs>
      <w:suppressAutoHyphens/>
      <w:spacing w:after="0" w:line="240" w:lineRule="auto"/>
    </w:pPr>
    <w:rPr>
      <w:rFonts w:ascii="Times New Roman" w:eastAsia="Times New Roman" w:hAnsi="Times New Roman" w:cs="Times New Roman"/>
      <w:sz w:val="24"/>
      <w:szCs w:val="20"/>
      <w:lang w:eastAsia="ar-SA"/>
    </w:rPr>
  </w:style>
  <w:style w:type="character" w:customStyle="1" w:styleId="a8">
    <w:name w:val="Долен колонтитул Знак"/>
    <w:basedOn w:val="a0"/>
    <w:link w:val="a7"/>
    <w:uiPriority w:val="99"/>
    <w:rsid w:val="009C1C8E"/>
    <w:rPr>
      <w:rFonts w:ascii="Times New Roman" w:eastAsia="Times New Roman" w:hAnsi="Times New Roman" w:cs="Times New Roman"/>
      <w:sz w:val="24"/>
      <w:szCs w:val="20"/>
      <w:lang w:eastAsia="ar-SA"/>
    </w:rPr>
  </w:style>
  <w:style w:type="character" w:styleId="a9">
    <w:name w:val="Hyperlink"/>
    <w:uiPriority w:val="99"/>
    <w:rsid w:val="009C1C8E"/>
    <w:rPr>
      <w:rFonts w:cs="Times New Roman"/>
      <w:color w:val="0563C1"/>
      <w:u w:val="single"/>
    </w:rPr>
  </w:style>
  <w:style w:type="character" w:customStyle="1" w:styleId="Bodytext3">
    <w:name w:val="Body text (3)"/>
    <w:uiPriority w:val="99"/>
    <w:rsid w:val="009C1C8E"/>
  </w:style>
  <w:style w:type="paragraph" w:styleId="aa">
    <w:name w:val="Balloon Text"/>
    <w:basedOn w:val="a"/>
    <w:link w:val="ab"/>
    <w:uiPriority w:val="99"/>
    <w:semiHidden/>
    <w:unhideWhenUsed/>
    <w:rsid w:val="009C1C8E"/>
    <w:pPr>
      <w:spacing w:after="0" w:line="240" w:lineRule="auto"/>
    </w:pPr>
    <w:rPr>
      <w:rFonts w:ascii="Tahoma" w:hAnsi="Tahoma" w:cs="Tahoma"/>
      <w:sz w:val="16"/>
      <w:szCs w:val="16"/>
    </w:rPr>
  </w:style>
  <w:style w:type="character" w:customStyle="1" w:styleId="ab">
    <w:name w:val="Изнесен текст Знак"/>
    <w:basedOn w:val="a0"/>
    <w:link w:val="aa"/>
    <w:uiPriority w:val="99"/>
    <w:semiHidden/>
    <w:rsid w:val="009C1C8E"/>
    <w:rPr>
      <w:rFonts w:ascii="Tahoma" w:hAnsi="Tahoma" w:cs="Tahoma"/>
      <w:sz w:val="16"/>
      <w:szCs w:val="16"/>
    </w:rPr>
  </w:style>
  <w:style w:type="paragraph" w:styleId="ac">
    <w:name w:val="No Spacing"/>
    <w:uiPriority w:val="1"/>
    <w:qFormat/>
    <w:rsid w:val="008B7756"/>
    <w:pPr>
      <w:spacing w:after="0" w:line="240" w:lineRule="auto"/>
    </w:pPr>
    <w:rPr>
      <w:rFonts w:ascii="Calibri" w:eastAsia="Calibri" w:hAnsi="Calibri" w:cs="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7" Type="http://schemas.openxmlformats.org/officeDocument/2006/relationships/image" Target="media/image8.jpeg"/><Relationship Id="rId2" Type="http://schemas.openxmlformats.org/officeDocument/2006/relationships/image" Target="media/image3.png"/><Relationship Id="rId1" Type="http://schemas.openxmlformats.org/officeDocument/2006/relationships/image" Target="media/image2.png"/><Relationship Id="rId6" Type="http://schemas.openxmlformats.org/officeDocument/2006/relationships/image" Target="media/image7.png"/><Relationship Id="rId5" Type="http://schemas.openxmlformats.org/officeDocument/2006/relationships/image" Target="media/image6.jpeg"/><Relationship Id="rId4" Type="http://schemas.openxmlformats.org/officeDocument/2006/relationships/image" Target="media/image5.png"/></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16</Pages>
  <Words>4198</Words>
  <Characters>23931</Characters>
  <Application>Microsoft Office Word</Application>
  <DocSecurity>0</DocSecurity>
  <Lines>199</Lines>
  <Paragraphs>56</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28073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PC User</cp:lastModifiedBy>
  <cp:revision>3</cp:revision>
  <dcterms:created xsi:type="dcterms:W3CDTF">2018-07-15T14:04:00Z</dcterms:created>
  <dcterms:modified xsi:type="dcterms:W3CDTF">2018-07-15T14:07:00Z</dcterms:modified>
</cp:coreProperties>
</file>